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4E" w:rsidRDefault="007C574E">
      <w:r>
        <w:t>Duke DeLoache</w:t>
      </w:r>
    </w:p>
    <w:p w:rsidR="007C574E" w:rsidRDefault="007C574E">
      <w:r>
        <w:t>Independent Study</w:t>
      </w:r>
    </w:p>
    <w:p w:rsidR="007C574E" w:rsidRDefault="007C574E">
      <w:r>
        <w:t xml:space="preserve">Drs. Campbell and </w:t>
      </w:r>
      <w:proofErr w:type="spellStart"/>
      <w:r>
        <w:t>Heyer</w:t>
      </w:r>
      <w:proofErr w:type="spellEnd"/>
    </w:p>
    <w:p w:rsidR="007C574E" w:rsidRDefault="007C574E">
      <w:r>
        <w:t>5/12/2012</w:t>
      </w:r>
    </w:p>
    <w:p w:rsidR="007C574E" w:rsidRPr="007C574E" w:rsidRDefault="007C574E" w:rsidP="007C574E">
      <w:pPr>
        <w:jc w:val="center"/>
      </w:pPr>
      <w:r w:rsidRPr="007C574E">
        <w:t>Davidson College Synthetic Biology</w:t>
      </w:r>
    </w:p>
    <w:p w:rsidR="007C574E" w:rsidRDefault="00726255" w:rsidP="00726255">
      <w:pPr>
        <w:jc w:val="center"/>
      </w:pPr>
      <w:r>
        <w:t>Summer 2012 Research Proposal</w:t>
      </w:r>
    </w:p>
    <w:p w:rsidR="00804DCA" w:rsidRPr="007C574E" w:rsidRDefault="00804DCA">
      <w:pPr>
        <w:rPr>
          <w:b/>
          <w:bCs/>
        </w:rPr>
      </w:pPr>
      <w:r w:rsidRPr="007C574E">
        <w:rPr>
          <w:b/>
          <w:bCs/>
        </w:rPr>
        <w:t>Intro</w:t>
      </w:r>
      <w:r w:rsidR="000E072C">
        <w:rPr>
          <w:b/>
          <w:bCs/>
        </w:rPr>
        <w:t>duction</w:t>
      </w:r>
    </w:p>
    <w:p w:rsidR="007E59B0" w:rsidRDefault="007872B9" w:rsidP="00DF5794">
      <w:proofErr w:type="spellStart"/>
      <w:r>
        <w:t>Violacein</w:t>
      </w:r>
      <w:proofErr w:type="spellEnd"/>
      <w:r>
        <w:t xml:space="preserve"> is a purple bacteria-produced pigment</w:t>
      </w:r>
      <w:r w:rsidR="00091ADC">
        <w:t xml:space="preserve"> produced from L-tryptophan via</w:t>
      </w:r>
      <w:r w:rsidR="005D70D1">
        <w:t xml:space="preserve"> a pathway involving five enzymes</w:t>
      </w:r>
      <w:r w:rsidR="00937E05">
        <w:t>. This pigment has anti-tumor, antiviral, a</w:t>
      </w:r>
      <w:r w:rsidR="000645BF">
        <w:t xml:space="preserve">nd antifungal properties, which </w:t>
      </w:r>
      <w:r w:rsidR="00937E05">
        <w:t>make it a valuable object of study</w:t>
      </w:r>
      <w:r w:rsidR="00D547DA">
        <w:rPr>
          <w:vertAlign w:val="superscript"/>
        </w:rPr>
        <w:t>1</w:t>
      </w:r>
      <w:r w:rsidR="00937E05">
        <w:t xml:space="preserve">. </w:t>
      </w:r>
      <w:r w:rsidR="00E245A1">
        <w:t xml:space="preserve">Additionally, research </w:t>
      </w:r>
      <w:r w:rsidR="00DF5794">
        <w:t xml:space="preserve">has shown that this production pathway has </w:t>
      </w:r>
      <w:r w:rsidR="00E245A1">
        <w:t xml:space="preserve">interesting </w:t>
      </w:r>
      <w:r w:rsidR="001B1545">
        <w:t xml:space="preserve">recombinant </w:t>
      </w:r>
      <w:r w:rsidR="00A662C4">
        <w:t xml:space="preserve">expression </w:t>
      </w:r>
      <w:r w:rsidR="001B1545">
        <w:t xml:space="preserve">properties. The five enzymes in the pathway are </w:t>
      </w:r>
      <w:proofErr w:type="spellStart"/>
      <w:r w:rsidR="001B1545">
        <w:t>vi</w:t>
      </w:r>
      <w:r w:rsidR="008B0589">
        <w:t>oA</w:t>
      </w:r>
      <w:r w:rsidR="00C00458">
        <w:t>BCDE</w:t>
      </w:r>
      <w:proofErr w:type="spellEnd"/>
      <w:r w:rsidR="00C00458">
        <w:t>, and the</w:t>
      </w:r>
      <w:r w:rsidR="007D2262">
        <w:t xml:space="preserve"> biosynthetic</w:t>
      </w:r>
      <w:r w:rsidR="00C00458">
        <w:t xml:space="preserve"> pathway is </w:t>
      </w:r>
      <w:proofErr w:type="spellStart"/>
      <w:r w:rsidR="00C00458">
        <w:t>VioA</w:t>
      </w:r>
      <w:proofErr w:type="spellEnd"/>
      <w:r w:rsidR="00C00458">
        <w:t xml:space="preserve"> </w:t>
      </w:r>
      <w:r w:rsidR="00C00458">
        <w:sym w:font="Wingdings" w:char="F0E0"/>
      </w:r>
      <w:r w:rsidR="00C00458">
        <w:t xml:space="preserve"> </w:t>
      </w:r>
      <w:proofErr w:type="spellStart"/>
      <w:r w:rsidR="00C00458">
        <w:t>VioB</w:t>
      </w:r>
      <w:proofErr w:type="spellEnd"/>
      <w:r w:rsidR="00C00458">
        <w:t xml:space="preserve"> </w:t>
      </w:r>
      <w:r w:rsidR="00C00458">
        <w:sym w:font="Wingdings" w:char="F0E0"/>
      </w:r>
      <w:r w:rsidR="00C00458">
        <w:t xml:space="preserve"> </w:t>
      </w:r>
      <w:proofErr w:type="spellStart"/>
      <w:r w:rsidR="00C00458">
        <w:t>VioE</w:t>
      </w:r>
      <w:proofErr w:type="spellEnd"/>
      <w:r w:rsidR="00C00458">
        <w:t xml:space="preserve"> </w:t>
      </w:r>
      <w:r w:rsidR="00C00458">
        <w:sym w:font="Wingdings" w:char="F0E0"/>
      </w:r>
      <w:r w:rsidR="00C00458">
        <w:t xml:space="preserve"> </w:t>
      </w:r>
      <w:proofErr w:type="spellStart"/>
      <w:r w:rsidR="00C00458">
        <w:t>VioD</w:t>
      </w:r>
      <w:proofErr w:type="spellEnd"/>
      <w:r w:rsidR="00C00458">
        <w:t xml:space="preserve"> </w:t>
      </w:r>
      <w:r w:rsidR="00C00458">
        <w:sym w:font="Wingdings" w:char="F0E0"/>
      </w:r>
      <w:r w:rsidR="00C00458">
        <w:t xml:space="preserve"> </w:t>
      </w:r>
      <w:proofErr w:type="spellStart"/>
      <w:r w:rsidR="00C00458">
        <w:t>VioC</w:t>
      </w:r>
      <w:proofErr w:type="spellEnd"/>
      <w:r w:rsidR="00C00458">
        <w:t xml:space="preserve"> (</w:t>
      </w:r>
      <w:r w:rsidR="0072385C">
        <w:t xml:space="preserve">see </w:t>
      </w:r>
      <w:r w:rsidR="00C00458">
        <w:t>Figure 1).</w:t>
      </w:r>
      <w:r w:rsidR="007E59B0">
        <w:t xml:space="preserve"> I will denote the </w:t>
      </w:r>
      <w:r w:rsidR="00643979">
        <w:t>operon</w:t>
      </w:r>
      <w:r w:rsidR="007E59B0">
        <w:t xml:space="preserve"> as a str</w:t>
      </w:r>
      <w:r w:rsidR="00643979">
        <w:t>ing o</w:t>
      </w:r>
      <w:r w:rsidR="001838CE">
        <w:t>f characters, like ABCDE</w:t>
      </w:r>
    </w:p>
    <w:p w:rsidR="00D21C1A" w:rsidRDefault="00C00458" w:rsidP="0072385C">
      <w:pPr>
        <w:ind w:firstLine="720"/>
      </w:pPr>
      <w:r>
        <w:t xml:space="preserve">The genes encoding the pathway have been expressed in </w:t>
      </w:r>
      <w:r w:rsidRPr="0072385C">
        <w:rPr>
          <w:i/>
          <w:iCs/>
        </w:rPr>
        <w:t>E. coli</w:t>
      </w:r>
      <w:r>
        <w:t xml:space="preserve"> by </w:t>
      </w:r>
      <w:r w:rsidR="007E59B0">
        <w:t xml:space="preserve">several research teams, including two </w:t>
      </w:r>
      <w:proofErr w:type="spellStart"/>
      <w:r w:rsidR="007E59B0">
        <w:t>iGEM</w:t>
      </w:r>
      <w:proofErr w:type="spellEnd"/>
      <w:r w:rsidR="007E59B0">
        <w:t xml:space="preserve"> teams</w:t>
      </w:r>
      <w:r w:rsidR="00D21C1A">
        <w:t>: Cambridge (2009) and Slovenia (2010)</w:t>
      </w:r>
      <w:r w:rsidR="007E59B0">
        <w:t xml:space="preserve">. </w:t>
      </w:r>
      <w:r w:rsidR="0072385C">
        <w:t xml:space="preserve">These </w:t>
      </w:r>
      <w:r w:rsidR="007E59B0">
        <w:t xml:space="preserve">teams have experimented with various recombinant forms and discovered some interesting expression patterns. In 2009, the Cambridge </w:t>
      </w:r>
      <w:proofErr w:type="spellStart"/>
      <w:r w:rsidR="007E59B0">
        <w:t>iGEM</w:t>
      </w:r>
      <w:proofErr w:type="spellEnd"/>
      <w:r w:rsidR="007E59B0">
        <w:t xml:space="preserve"> team</w:t>
      </w:r>
      <w:r w:rsidR="00D21C1A">
        <w:t xml:space="preserve"> used </w:t>
      </w:r>
      <w:proofErr w:type="spellStart"/>
      <w:r w:rsidR="00D21C1A">
        <w:t>biobrick</w:t>
      </w:r>
      <w:proofErr w:type="spellEnd"/>
      <w:r w:rsidR="00D21C1A">
        <w:t xml:space="preserve"> assembly to remove various parts of the pathway and, in doing so, showed varying pigmentation expression.</w:t>
      </w:r>
      <w:r w:rsidR="005D0D4B">
        <w:t xml:space="preserve"> T</w:t>
      </w:r>
      <w:r w:rsidR="007E59B0">
        <w:t>he</w:t>
      </w:r>
      <w:r w:rsidR="004F7720">
        <w:t xml:space="preserve"> operon</w:t>
      </w:r>
      <w:r w:rsidR="0088278B">
        <w:t xml:space="preserve"> ABCDE produced a purple pigment as expected, but</w:t>
      </w:r>
      <w:r w:rsidR="007E59B0">
        <w:t xml:space="preserve"> ABD</w:t>
      </w:r>
      <w:r w:rsidR="004F7720">
        <w:t>E produced a dark green pigment</w:t>
      </w:r>
      <w:r w:rsidR="00795FD7">
        <w:t xml:space="preserve"> (</w:t>
      </w:r>
      <w:proofErr w:type="spellStart"/>
      <w:r w:rsidR="00795FD7">
        <w:t>deoxyviolacein</w:t>
      </w:r>
      <w:proofErr w:type="spellEnd"/>
      <w:r w:rsidR="00795FD7">
        <w:t>)</w:t>
      </w:r>
      <w:r w:rsidR="001A6A4C">
        <w:t>,</w:t>
      </w:r>
      <w:r w:rsidR="0088278B">
        <w:t xml:space="preserve"> and</w:t>
      </w:r>
      <w:r w:rsidR="004F7720">
        <w:t xml:space="preserve"> </w:t>
      </w:r>
      <w:r w:rsidR="007E59B0">
        <w:t>ABCE produced a lig</w:t>
      </w:r>
      <w:r w:rsidR="00D21C1A">
        <w:t>ht green pigment</w:t>
      </w:r>
      <w:r w:rsidR="00091ADC">
        <w:t xml:space="preserve"> (</w:t>
      </w:r>
      <w:proofErr w:type="spellStart"/>
      <w:r w:rsidR="00091ADC">
        <w:t>deoxychromoviri</w:t>
      </w:r>
      <w:r w:rsidR="00795FD7">
        <w:t>dans</w:t>
      </w:r>
      <w:proofErr w:type="spellEnd"/>
      <w:proofErr w:type="gramStart"/>
      <w:r w:rsidR="00795FD7">
        <w:t>)</w:t>
      </w:r>
      <w:r w:rsidR="00D547DA">
        <w:rPr>
          <w:vertAlign w:val="superscript"/>
        </w:rPr>
        <w:t>2</w:t>
      </w:r>
      <w:proofErr w:type="gramEnd"/>
      <w:r w:rsidR="00D21C1A">
        <w:t xml:space="preserve">. </w:t>
      </w:r>
    </w:p>
    <w:p w:rsidR="00D21C1A" w:rsidRDefault="00471CDC" w:rsidP="001A6A4C">
      <w:pPr>
        <w:ind w:firstLine="720"/>
        <w:rPr>
          <w:noProof/>
        </w:rPr>
      </w:pPr>
      <w:r>
        <w:rPr>
          <w:noProof/>
        </w:rPr>
        <w:t xml:space="preserve">The Cambridge team used the biobrick approach to remove individual genes, but did not vary the order in which they assembled the genes along the plasmid: ABCDE. </w:t>
      </w:r>
      <w:r w:rsidR="007D78F7">
        <w:rPr>
          <w:noProof/>
        </w:rPr>
        <w:t xml:space="preserve">Jiang </w:t>
      </w:r>
      <w:r w:rsidR="007D78F7" w:rsidRPr="00726255">
        <w:rPr>
          <w:i/>
          <w:iCs/>
          <w:noProof/>
        </w:rPr>
        <w:t xml:space="preserve">et al. </w:t>
      </w:r>
      <w:r w:rsidR="007D78F7">
        <w:rPr>
          <w:noProof/>
        </w:rPr>
        <w:t>tested nine different recombinant vectors</w:t>
      </w:r>
      <w:r w:rsidR="001C27FC">
        <w:rPr>
          <w:noProof/>
        </w:rPr>
        <w:t xml:space="preserve"> with the </w:t>
      </w:r>
      <w:r w:rsidR="001F453F">
        <w:rPr>
          <w:noProof/>
        </w:rPr>
        <w:t>vio</w:t>
      </w:r>
      <w:r w:rsidR="001C27FC">
        <w:rPr>
          <w:noProof/>
        </w:rPr>
        <w:t xml:space="preserve"> gene</w:t>
      </w:r>
      <w:r w:rsidR="006E6D4B">
        <w:rPr>
          <w:noProof/>
        </w:rPr>
        <w:t xml:space="preserve"> cluster, showing that various strains</w:t>
      </w:r>
      <w:r w:rsidR="001C27FC">
        <w:rPr>
          <w:noProof/>
        </w:rPr>
        <w:t xml:space="preserve"> yield </w:t>
      </w:r>
      <w:r w:rsidR="001C27FC">
        <w:rPr>
          <w:noProof/>
        </w:rPr>
        <w:lastRenderedPageBreak/>
        <w:t xml:space="preserve">significant differences in crude violacein production. </w:t>
      </w:r>
      <w:r w:rsidR="006E6D4B">
        <w:rPr>
          <w:noProof/>
        </w:rPr>
        <w:t xml:space="preserve">Additionally, they tested the various recombinant </w:t>
      </w:r>
      <w:r w:rsidR="00201C11">
        <w:rPr>
          <w:noProof/>
        </w:rPr>
        <w:t xml:space="preserve">vectors across different hosts, showing that </w:t>
      </w:r>
      <w:r w:rsidR="001A6A4C">
        <w:rPr>
          <w:noProof/>
        </w:rPr>
        <w:t xml:space="preserve">differing </w:t>
      </w:r>
      <w:r w:rsidR="00201C11">
        <w:rPr>
          <w:noProof/>
        </w:rPr>
        <w:t xml:space="preserve">vectors showed different expression across various strains of </w:t>
      </w:r>
      <w:r w:rsidR="00201C11">
        <w:rPr>
          <w:i/>
          <w:iCs/>
          <w:noProof/>
        </w:rPr>
        <w:t>E. coli</w:t>
      </w:r>
      <w:r w:rsidR="00201C11">
        <w:rPr>
          <w:noProof/>
        </w:rPr>
        <w:t xml:space="preserve"> (as well as some other bacteria). In some strai</w:t>
      </w:r>
      <w:r w:rsidR="008E4B87">
        <w:rPr>
          <w:noProof/>
        </w:rPr>
        <w:t>ns, deoxyviolacein was produced</w:t>
      </w:r>
      <w:r w:rsidR="00201C11">
        <w:rPr>
          <w:noProof/>
        </w:rPr>
        <w:t xml:space="preserve"> while </w:t>
      </w:r>
      <w:r w:rsidR="008E4B87">
        <w:rPr>
          <w:noProof/>
        </w:rPr>
        <w:t>crude violacein accumulated in others</w:t>
      </w:r>
      <w:r w:rsidR="00EF28B1">
        <w:rPr>
          <w:noProof/>
          <w:vertAlign w:val="superscript"/>
        </w:rPr>
        <w:t>1</w:t>
      </w:r>
      <w:r w:rsidR="008E4B87">
        <w:rPr>
          <w:noProof/>
        </w:rPr>
        <w:t>.</w:t>
      </w:r>
      <w:r w:rsidR="00050BC4">
        <w:rPr>
          <w:noProof/>
        </w:rPr>
        <w:t xml:space="preserve"> </w:t>
      </w:r>
    </w:p>
    <w:p w:rsidR="00E81B06" w:rsidRDefault="0072385C" w:rsidP="002D2945">
      <w:pPr>
        <w:ind w:firstLine="720"/>
      </w:pPr>
      <w:r>
        <w:rPr>
          <w:noProof/>
        </w:rPr>
        <w:t>While the</w:t>
      </w:r>
      <w:r w:rsidR="00050BC4">
        <w:rPr>
          <w:noProof/>
        </w:rPr>
        <w:t xml:space="preserve"> few </w:t>
      </w:r>
      <w:r w:rsidR="004F727E">
        <w:rPr>
          <w:noProof/>
        </w:rPr>
        <w:t>research efforts</w:t>
      </w:r>
      <w:r w:rsidR="00050BC4">
        <w:rPr>
          <w:noProof/>
        </w:rPr>
        <w:t xml:space="preserve"> I have mentioned are well documented, </w:t>
      </w:r>
      <w:r w:rsidR="004F727E">
        <w:rPr>
          <w:noProof/>
        </w:rPr>
        <w:t xml:space="preserve">it seems that there is a great deal that is unknown about the pathway characteristics of violacein, specifically with repect to the effect of various recombinant vectors. </w:t>
      </w:r>
      <w:r w:rsidR="001A550D">
        <w:rPr>
          <w:noProof/>
        </w:rPr>
        <w:t xml:space="preserve">I propose that the Davidson College Synthetic Biology Team look into experimentally manipulating the vioABCDE gene cluster </w:t>
      </w:r>
      <w:r w:rsidR="00D2592C">
        <w:rPr>
          <w:noProof/>
        </w:rPr>
        <w:t xml:space="preserve">by producing a library of genetic circuits </w:t>
      </w:r>
      <w:r w:rsidR="001A550D">
        <w:rPr>
          <w:noProof/>
        </w:rPr>
        <w:t>using the power of Golden Gate Assembly, the C-dog construct, CRIM plasmids, and barcode-like primer sequences</w:t>
      </w:r>
      <w:r w:rsidR="00AF746D">
        <w:rPr>
          <w:noProof/>
        </w:rPr>
        <w:t xml:space="preserve"> in order to vary the strength, presence, and order of the violacein-producing genes</w:t>
      </w:r>
      <w:r w:rsidR="002D2945">
        <w:rPr>
          <w:noProof/>
        </w:rPr>
        <w:t xml:space="preserve"> and their constituent components</w:t>
      </w:r>
      <w:r w:rsidR="00AF746D">
        <w:rPr>
          <w:noProof/>
        </w:rPr>
        <w:t xml:space="preserve"> in such a way that many strains can be produced, tested, and kept track of</w:t>
      </w:r>
      <w:r>
        <w:rPr>
          <w:noProof/>
        </w:rPr>
        <w:t xml:space="preserve"> in an efficient manner</w:t>
      </w:r>
      <w:r w:rsidR="00CF1C7B">
        <w:rPr>
          <w:noProof/>
        </w:rPr>
        <w:t xml:space="preserve"> (see Figure 2)</w:t>
      </w:r>
      <w:r w:rsidR="00AF746D">
        <w:rPr>
          <w:noProof/>
        </w:rPr>
        <w:t>. One goal would be to optimize</w:t>
      </w:r>
      <w:r w:rsidR="00D57830">
        <w:rPr>
          <w:noProof/>
        </w:rPr>
        <w:t xml:space="preserve"> control of</w:t>
      </w:r>
      <w:r w:rsidR="00AF746D">
        <w:rPr>
          <w:noProof/>
        </w:rPr>
        <w:t xml:space="preserve"> violacein expression, and another would be to discover more about the pathway characteristics, such as instances in which deoxyviolacein or deoxychromoviridans tend to accumulate.</w:t>
      </w:r>
    </w:p>
    <w:p w:rsidR="000E072C" w:rsidRDefault="000E072C" w:rsidP="000E072C">
      <w:pPr>
        <w:ind w:firstLine="720"/>
      </w:pPr>
    </w:p>
    <w:p w:rsidR="00E81B06" w:rsidRDefault="00E81B06" w:rsidP="00E165E1">
      <w:r>
        <w:rPr>
          <w:b/>
          <w:bCs/>
        </w:rPr>
        <w:t>Procedures</w:t>
      </w:r>
    </w:p>
    <w:p w:rsidR="000E0F65" w:rsidRDefault="003350BB" w:rsidP="00EF28B1">
      <w:r>
        <w:t xml:space="preserve">While </w:t>
      </w:r>
      <w:r w:rsidR="000E21BF">
        <w:t xml:space="preserve">the Cambridge </w:t>
      </w:r>
      <w:proofErr w:type="spellStart"/>
      <w:r w:rsidR="000E21BF">
        <w:t>iGEM</w:t>
      </w:r>
      <w:proofErr w:type="spellEnd"/>
      <w:r w:rsidR="000E21BF">
        <w:t xml:space="preserve"> team took their genes from</w:t>
      </w:r>
      <w:r w:rsidR="004963E8">
        <w:t xml:space="preserve"> </w:t>
      </w:r>
      <w:proofErr w:type="spellStart"/>
      <w:r w:rsidR="004963E8">
        <w:rPr>
          <w:i/>
          <w:iCs/>
        </w:rPr>
        <w:t>Chromobacterium</w:t>
      </w:r>
      <w:proofErr w:type="spellEnd"/>
      <w:r w:rsidR="004963E8">
        <w:rPr>
          <w:i/>
          <w:iCs/>
        </w:rPr>
        <w:t xml:space="preserve"> </w:t>
      </w:r>
      <w:proofErr w:type="spellStart"/>
      <w:r w:rsidR="004963E8">
        <w:rPr>
          <w:i/>
          <w:iCs/>
        </w:rPr>
        <w:t>voilaceum</w:t>
      </w:r>
      <w:proofErr w:type="spellEnd"/>
      <w:r w:rsidR="004963E8">
        <w:t xml:space="preserve">, </w:t>
      </w:r>
      <w:r w:rsidR="00E81B06">
        <w:t xml:space="preserve">I think that the </w:t>
      </w:r>
      <w:proofErr w:type="spellStart"/>
      <w:r w:rsidR="00E81B06">
        <w:t>vioABCDE</w:t>
      </w:r>
      <w:proofErr w:type="spellEnd"/>
      <w:r w:rsidR="00E81B06">
        <w:t xml:space="preserve"> genes should be cloned from </w:t>
      </w:r>
      <w:proofErr w:type="spellStart"/>
      <w:r w:rsidR="00E81B06">
        <w:rPr>
          <w:i/>
          <w:iCs/>
        </w:rPr>
        <w:t>Duganella</w:t>
      </w:r>
      <w:proofErr w:type="spellEnd"/>
      <w:r w:rsidR="00E81B06">
        <w:t xml:space="preserve"> sp. B2, as Jiang </w:t>
      </w:r>
      <w:r w:rsidR="00E81B06">
        <w:rPr>
          <w:i/>
          <w:iCs/>
        </w:rPr>
        <w:t>et al.</w:t>
      </w:r>
      <w:r w:rsidR="00E81B06">
        <w:t xml:space="preserve"> describe this source as more reliable in terms of the </w:t>
      </w:r>
      <w:r w:rsidR="006B554C">
        <w:t>final</w:t>
      </w:r>
      <w:r w:rsidR="00FB2EBE">
        <w:t xml:space="preserve"> product: </w:t>
      </w:r>
      <w:r w:rsidR="000E21BF">
        <w:t xml:space="preserve">expression of </w:t>
      </w:r>
      <w:proofErr w:type="spellStart"/>
      <w:r w:rsidR="000E21BF">
        <w:t>violacein</w:t>
      </w:r>
      <w:proofErr w:type="spellEnd"/>
      <w:r w:rsidR="000E21BF">
        <w:t xml:space="preserve"> in </w:t>
      </w:r>
      <w:r w:rsidR="000E21BF">
        <w:rPr>
          <w:i/>
          <w:iCs/>
        </w:rPr>
        <w:t>E. coli</w:t>
      </w:r>
      <w:r w:rsidR="00EF28B1">
        <w:rPr>
          <w:i/>
          <w:iCs/>
        </w:rPr>
        <w:t xml:space="preserve"> </w:t>
      </w:r>
      <w:r w:rsidR="00EF28B1">
        <w:rPr>
          <w:vertAlign w:val="superscript"/>
        </w:rPr>
        <w:t>1</w:t>
      </w:r>
      <w:r w:rsidR="00EF28B1">
        <w:t>.</w:t>
      </w:r>
      <w:r>
        <w:t xml:space="preserve"> </w:t>
      </w:r>
      <w:r w:rsidR="00811126">
        <w:t>I recomm</w:t>
      </w:r>
      <w:r w:rsidR="00971E33">
        <w:t xml:space="preserve">end that the team use the C. </w:t>
      </w:r>
      <w:r w:rsidR="00B403D6">
        <w:t xml:space="preserve">dog construct to both control and vary gene expression levels </w:t>
      </w:r>
      <w:r w:rsidR="002C645E">
        <w:t xml:space="preserve">(see Figure 3). </w:t>
      </w:r>
      <w:r w:rsidR="00B403D6">
        <w:t xml:space="preserve">One advantage of using C. dog would be that for the various organizations of cassettes along the genetic circuit, the expression levels of the five genes of interest (GOIs) </w:t>
      </w:r>
      <w:r w:rsidR="00B403D6">
        <w:lastRenderedPageBreak/>
        <w:t>would be more consistent</w:t>
      </w:r>
      <w:r w:rsidR="006149B6">
        <w:rPr>
          <w:vertAlign w:val="superscript"/>
        </w:rPr>
        <w:t>5</w:t>
      </w:r>
      <w:r w:rsidR="00B403D6">
        <w:t>. Additionally</w:t>
      </w:r>
      <w:r w:rsidR="000B5696">
        <w:t>, by varying the RBS2</w:t>
      </w:r>
      <w:r w:rsidR="00B403D6">
        <w:t xml:space="preserve">, these expression levels could be manipulated in a </w:t>
      </w:r>
      <w:r w:rsidR="004E3D47">
        <w:t xml:space="preserve">more </w:t>
      </w:r>
      <w:r w:rsidR="00B403D6">
        <w:t>controlled</w:t>
      </w:r>
      <w:r w:rsidR="00A067F7">
        <w:t xml:space="preserve"> and predictable manner than </w:t>
      </w:r>
      <w:r w:rsidR="00B737EE">
        <w:t xml:space="preserve">could a </w:t>
      </w:r>
      <w:r w:rsidR="008832C1">
        <w:t>circuit</w:t>
      </w:r>
      <w:r w:rsidR="00B737EE">
        <w:t xml:space="preserve"> with </w:t>
      </w:r>
      <w:r w:rsidR="00FC5F35">
        <w:t xml:space="preserve">traditional </w:t>
      </w:r>
      <w:r w:rsidR="004E3D47">
        <w:t>ribosomal binding sites</w:t>
      </w:r>
      <w:r w:rsidR="00421CB1">
        <w:t xml:space="preserve">. </w:t>
      </w:r>
      <w:r w:rsidR="00010201">
        <w:t xml:space="preserve">Upstream of C. dog on each cassette will be a promoter, and </w:t>
      </w:r>
      <w:r w:rsidR="00760BC2">
        <w:t>downstream</w:t>
      </w:r>
      <w:r w:rsidR="00010201">
        <w:t xml:space="preserve"> of C. dog on each cassette will be one of the GOIs</w:t>
      </w:r>
      <w:r w:rsidR="00CE681B">
        <w:t xml:space="preserve"> followed by a </w:t>
      </w:r>
      <w:r w:rsidR="00760BC2">
        <w:t>degradation</w:t>
      </w:r>
      <w:r w:rsidR="00CE681B">
        <w:t xml:space="preserve"> tag.</w:t>
      </w:r>
    </w:p>
    <w:p w:rsidR="00A571F6" w:rsidRDefault="00633DE7" w:rsidP="00DA30A8">
      <w:r>
        <w:t>There will need to be a way to insert and</w:t>
      </w:r>
      <w:r w:rsidR="006871F3">
        <w:t xml:space="preserve"> replace</w:t>
      </w:r>
      <w:r>
        <w:t xml:space="preserve"> these parts as well as various promoters and degradation tags.</w:t>
      </w:r>
      <w:r w:rsidR="00686169">
        <w:t xml:space="preserve"> To solve this pro</w:t>
      </w:r>
      <w:r w:rsidR="007B705F">
        <w:t>blem, I propose the team use a</w:t>
      </w:r>
      <w:r w:rsidR="00686169">
        <w:t xml:space="preserve"> double cloning approach with type II restriction enzymes. </w:t>
      </w:r>
      <w:r w:rsidR="00F80A48">
        <w:t xml:space="preserve">Each component </w:t>
      </w:r>
      <w:r w:rsidR="00662A52">
        <w:t xml:space="preserve">(promoter, </w:t>
      </w:r>
      <w:r w:rsidR="00AA53AE">
        <w:t>C. dog, etc.) will be assigned one</w:t>
      </w:r>
      <w:r w:rsidR="00662A52">
        <w:t xml:space="preserve"> pair</w:t>
      </w:r>
      <w:r w:rsidR="00F80A48">
        <w:t xml:space="preserve"> </w:t>
      </w:r>
      <w:r w:rsidR="0008526A">
        <w:t xml:space="preserve">of </w:t>
      </w:r>
      <w:r w:rsidR="00F80A48">
        <w:t>type II restriction enzymes. A library of component</w:t>
      </w:r>
      <w:r w:rsidR="005446DF">
        <w:t>s will be produced, wherein</w:t>
      </w:r>
      <w:r w:rsidR="00F80A48">
        <w:t xml:space="preserve"> two copies of each component will be built. One copy</w:t>
      </w:r>
      <w:r w:rsidR="00662A52">
        <w:t xml:space="preserve"> of each component</w:t>
      </w:r>
      <w:r w:rsidR="00F80A48">
        <w:t xml:space="preserve"> will be flanked by binding sites for one of the type II </w:t>
      </w:r>
      <w:r w:rsidR="00662A52">
        <w:t xml:space="preserve">restriction </w:t>
      </w:r>
      <w:proofErr w:type="gramStart"/>
      <w:r w:rsidR="00662A52">
        <w:t>enzyme</w:t>
      </w:r>
      <w:r w:rsidR="00DA30A8">
        <w:t>s,</w:t>
      </w:r>
      <w:proofErr w:type="gramEnd"/>
      <w:r w:rsidR="00DA30A8">
        <w:t xml:space="preserve"> </w:t>
      </w:r>
      <w:r w:rsidR="00F80A48">
        <w:t>and the other copy with be flanked by bindin</w:t>
      </w:r>
      <w:r w:rsidR="00662A52">
        <w:t>g sites for the other type II restriction enzyme</w:t>
      </w:r>
      <w:r w:rsidR="00F80A48">
        <w:t xml:space="preserve">. </w:t>
      </w:r>
      <w:r w:rsidR="00B21A7F">
        <w:t xml:space="preserve">Each </w:t>
      </w:r>
      <w:r w:rsidR="0099074F">
        <w:t>enzym</w:t>
      </w:r>
      <w:r w:rsidR="00B21A7F">
        <w:t>e</w:t>
      </w:r>
      <w:r w:rsidR="00662A52">
        <w:t xml:space="preserve"> will</w:t>
      </w:r>
      <w:r w:rsidR="0099074F">
        <w:t xml:space="preserve"> cut the plasmid</w:t>
      </w:r>
      <w:r w:rsidR="00DA30A8">
        <w:t xml:space="preserve"> in two locations, </w:t>
      </w:r>
      <w:r w:rsidR="00A571F6">
        <w:t>slicing out the designated component</w:t>
      </w:r>
      <w:r w:rsidR="00DA30A8">
        <w:t xml:space="preserve"> and leaving</w:t>
      </w:r>
      <w:r w:rsidR="00A571F6">
        <w:t xml:space="preserve"> the same length overhang as its</w:t>
      </w:r>
      <w:r w:rsidR="0099074F">
        <w:t xml:space="preserve"> paired</w:t>
      </w:r>
      <w:r w:rsidR="00A571F6">
        <w:t xml:space="preserve"> enzyme</w:t>
      </w:r>
      <w:r w:rsidR="0099074F">
        <w:t xml:space="preserve"> partner.</w:t>
      </w:r>
    </w:p>
    <w:p w:rsidR="00FE10CB" w:rsidRDefault="00A571F6" w:rsidP="00FC20D8">
      <w:pPr>
        <w:ind w:firstLine="720"/>
      </w:pPr>
      <w:r>
        <w:t xml:space="preserve"> I</w:t>
      </w:r>
      <w:r w:rsidR="00C65FA6">
        <w:t xml:space="preserve">f we want to switch out a promoter, we simply have to add the appropriate enzyme to cut out the promoter that is </w:t>
      </w:r>
      <w:r w:rsidR="00D54975">
        <w:t xml:space="preserve">already </w:t>
      </w:r>
      <w:r w:rsidR="00C65FA6">
        <w:t xml:space="preserve">present before ligating the </w:t>
      </w:r>
      <w:r w:rsidR="00931648">
        <w:t xml:space="preserve">new promoter </w:t>
      </w:r>
      <w:r w:rsidR="00133A75">
        <w:t xml:space="preserve">with the other restriction enzyme </w:t>
      </w:r>
      <w:r w:rsidR="00931648">
        <w:t>binding site</w:t>
      </w:r>
      <w:r w:rsidR="00C65FA6">
        <w:t xml:space="preserve"> via Golden Gate Assembly</w:t>
      </w:r>
      <w:r w:rsidR="00417EF8">
        <w:t xml:space="preserve"> (see Figure 4)</w:t>
      </w:r>
      <w:r w:rsidR="009E1B72">
        <w:t>. Similarly, t</w:t>
      </w:r>
      <w:r w:rsidR="002720C1">
        <w:t>he other enzyme could be ad</w:t>
      </w:r>
      <w:r w:rsidR="003D6B2D">
        <w:t xml:space="preserve">ded </w:t>
      </w:r>
      <w:r w:rsidR="00540B15">
        <w:t>remove this promoter. This</w:t>
      </w:r>
      <w:r w:rsidR="002720C1">
        <w:t xml:space="preserve"> process could theoretically be repeated back and forth</w:t>
      </w:r>
      <w:r w:rsidR="00F30DC8">
        <w:t>, swapping components in and out</w:t>
      </w:r>
      <w:r w:rsidR="002720C1">
        <w:t xml:space="preserve"> as many tim</w:t>
      </w:r>
      <w:r w:rsidR="006E020E">
        <w:t>es as one desired, as type II restriction enzyme</w:t>
      </w:r>
      <w:r w:rsidR="002720C1">
        <w:t>s leav</w:t>
      </w:r>
      <w:r w:rsidR="00264F03">
        <w:t>e no scar sites.</w:t>
      </w:r>
      <w:r w:rsidR="00417EF8">
        <w:t xml:space="preserve"> It is important that each pair of enzymes not only have the same overhang length but also operate </w:t>
      </w:r>
      <w:r w:rsidR="00FC20D8">
        <w:t xml:space="preserve">reliably </w:t>
      </w:r>
      <w:r w:rsidR="00417EF8">
        <w:t>at the same temperature and with a similar buffer solution.</w:t>
      </w:r>
      <w:r w:rsidR="000C32B1">
        <w:t xml:space="preserve"> The following pairs of restriction enzymes were found using New England </w:t>
      </w:r>
      <w:proofErr w:type="spellStart"/>
      <w:r w:rsidR="000C32B1">
        <w:t>BioLabs</w:t>
      </w:r>
      <w:proofErr w:type="spellEnd"/>
      <w:r w:rsidR="000C32B1">
        <w:t xml:space="preserve">’ </w:t>
      </w:r>
      <w:r w:rsidR="00635312">
        <w:t>enzyme finder and obey the previously mentioned constraints:</w:t>
      </w:r>
    </w:p>
    <w:p w:rsidR="00FE0100" w:rsidRPr="00AE25F1" w:rsidRDefault="00FE0100" w:rsidP="00FE10CB">
      <w:pPr>
        <w:pStyle w:val="ListParagraph"/>
        <w:spacing w:line="240" w:lineRule="auto"/>
        <w:ind w:left="0"/>
        <w:jc w:val="center"/>
      </w:pPr>
      <w:proofErr w:type="spellStart"/>
      <w:r w:rsidRPr="00AE25F1">
        <w:t>BbsI</w:t>
      </w:r>
      <w:proofErr w:type="spellEnd"/>
      <w:r w:rsidRPr="00AE25F1">
        <w:t xml:space="preserve">, </w:t>
      </w:r>
      <w:proofErr w:type="spellStart"/>
      <w:r w:rsidRPr="00AE25F1">
        <w:t>BsaI</w:t>
      </w:r>
      <w:proofErr w:type="spellEnd"/>
    </w:p>
    <w:p w:rsidR="00FE0100" w:rsidRPr="00AE25F1" w:rsidRDefault="00FE0100" w:rsidP="00FE10CB">
      <w:pPr>
        <w:spacing w:line="240" w:lineRule="auto"/>
        <w:ind w:left="-360" w:firstLine="360"/>
        <w:jc w:val="center"/>
      </w:pPr>
      <w:proofErr w:type="spellStart"/>
      <w:r w:rsidRPr="00AE25F1">
        <w:t>FokI</w:t>
      </w:r>
      <w:proofErr w:type="spellEnd"/>
      <w:r w:rsidRPr="00AE25F1">
        <w:t xml:space="preserve">, </w:t>
      </w:r>
      <w:proofErr w:type="spellStart"/>
      <w:r w:rsidRPr="00AE25F1">
        <w:t>SfaNI</w:t>
      </w:r>
      <w:proofErr w:type="spellEnd"/>
    </w:p>
    <w:p w:rsidR="00FE0100" w:rsidRPr="00AE25F1" w:rsidRDefault="00FE0100" w:rsidP="00FE10CB">
      <w:pPr>
        <w:spacing w:line="240" w:lineRule="auto"/>
        <w:jc w:val="center"/>
      </w:pPr>
      <w:proofErr w:type="spellStart"/>
      <w:r w:rsidRPr="00AE25F1">
        <w:t>BsmAI</w:t>
      </w:r>
      <w:proofErr w:type="spellEnd"/>
      <w:r w:rsidRPr="00AE25F1">
        <w:t xml:space="preserve">, </w:t>
      </w:r>
      <w:proofErr w:type="spellStart"/>
      <w:r w:rsidRPr="00AE25F1">
        <w:t>BsmBI</w:t>
      </w:r>
      <w:proofErr w:type="spellEnd"/>
    </w:p>
    <w:p w:rsidR="00FE0100" w:rsidRPr="00AE25F1" w:rsidRDefault="00FE0100" w:rsidP="00FE10CB">
      <w:pPr>
        <w:spacing w:line="240" w:lineRule="auto"/>
        <w:jc w:val="center"/>
      </w:pPr>
      <w:proofErr w:type="spellStart"/>
      <w:r w:rsidRPr="00AE25F1">
        <w:t>BsmFI</w:t>
      </w:r>
      <w:proofErr w:type="spellEnd"/>
      <w:r w:rsidRPr="00AE25F1">
        <w:t xml:space="preserve">, </w:t>
      </w:r>
      <w:proofErr w:type="spellStart"/>
      <w:r w:rsidRPr="00AE25F1">
        <w:t>BtgZI</w:t>
      </w:r>
      <w:proofErr w:type="spellEnd"/>
    </w:p>
    <w:p w:rsidR="00FE0100" w:rsidRPr="00AE25F1" w:rsidRDefault="00FE0100" w:rsidP="00FE10CB">
      <w:pPr>
        <w:spacing w:line="240" w:lineRule="auto"/>
        <w:jc w:val="center"/>
      </w:pPr>
      <w:proofErr w:type="spellStart"/>
      <w:r w:rsidRPr="00AE25F1">
        <w:lastRenderedPageBreak/>
        <w:t>BseYI</w:t>
      </w:r>
      <w:proofErr w:type="spellEnd"/>
      <w:r w:rsidRPr="00AE25F1">
        <w:t xml:space="preserve">, </w:t>
      </w:r>
      <w:proofErr w:type="spellStart"/>
      <w:r w:rsidRPr="00AE25F1">
        <w:t>BssSI</w:t>
      </w:r>
      <w:proofErr w:type="spellEnd"/>
    </w:p>
    <w:p w:rsidR="00FE0100" w:rsidRDefault="00FE0100" w:rsidP="00FE10CB">
      <w:pPr>
        <w:spacing w:line="240" w:lineRule="auto"/>
        <w:jc w:val="center"/>
      </w:pPr>
      <w:proofErr w:type="spellStart"/>
      <w:r w:rsidRPr="00AE25F1">
        <w:t>EarI</w:t>
      </w:r>
      <w:proofErr w:type="spellEnd"/>
      <w:r w:rsidRPr="00AE25F1">
        <w:t xml:space="preserve">, </w:t>
      </w:r>
      <w:proofErr w:type="spellStart"/>
      <w:r w:rsidRPr="00AE25F1">
        <w:t>SapI</w:t>
      </w:r>
      <w:proofErr w:type="spellEnd"/>
    </w:p>
    <w:p w:rsidR="00F76BE7" w:rsidRPr="00AE25F1" w:rsidRDefault="00F76BE7" w:rsidP="00FE10CB">
      <w:pPr>
        <w:spacing w:line="240" w:lineRule="auto"/>
        <w:jc w:val="center"/>
      </w:pPr>
    </w:p>
    <w:p w:rsidR="00635312" w:rsidRDefault="00FE10CB" w:rsidP="00FC1DD1">
      <w:pPr>
        <w:ind w:firstLine="720"/>
      </w:pPr>
      <w:r>
        <w:t xml:space="preserve">While these are not the only pairs of enzymes in the database that have the same length overhang, buffer type and temperature, they </w:t>
      </w:r>
      <w:r w:rsidR="00696549">
        <w:t>all leave at least a three</w:t>
      </w:r>
      <w:r w:rsidR="00FC1DD1">
        <w:t xml:space="preserve"> base pair overhang</w:t>
      </w:r>
      <w:r w:rsidR="00D90D28">
        <w:t xml:space="preserve"> post-cut</w:t>
      </w:r>
      <w:r w:rsidR="00FC1DD1">
        <w:t xml:space="preserve">, which may allow for more reliable </w:t>
      </w:r>
      <w:r w:rsidR="009517D8">
        <w:t>re</w:t>
      </w:r>
      <w:r w:rsidR="00FC1DD1">
        <w:t>binding</w:t>
      </w:r>
      <w:r w:rsidR="0092259E">
        <w:rPr>
          <w:vertAlign w:val="superscript"/>
        </w:rPr>
        <w:t>6</w:t>
      </w:r>
      <w:r w:rsidR="00FC1DD1">
        <w:t>.</w:t>
      </w:r>
    </w:p>
    <w:p w:rsidR="00FE0100" w:rsidRDefault="00FE0100" w:rsidP="00A67EEC">
      <w:pPr>
        <w:ind w:firstLine="720"/>
      </w:pPr>
      <w:r>
        <w:t xml:space="preserve">Once this library of components is built (promoters, C. dog constructs, </w:t>
      </w:r>
      <w:proofErr w:type="spellStart"/>
      <w:r>
        <w:t>vioABCDE</w:t>
      </w:r>
      <w:proofErr w:type="spellEnd"/>
      <w:r>
        <w:t>, and de</w:t>
      </w:r>
      <w:r w:rsidR="009B0C8C">
        <w:t>gradation tags all flanked by the appropriate restriction enzyme</w:t>
      </w:r>
      <w:r>
        <w:t>s) a g</w:t>
      </w:r>
      <w:r w:rsidR="00D71E07">
        <w:t xml:space="preserve">enetic circuit can be built and put on a plasmid that can be transformed into </w:t>
      </w:r>
      <w:r w:rsidR="00D71E07">
        <w:rPr>
          <w:i/>
          <w:iCs/>
        </w:rPr>
        <w:t>E.</w:t>
      </w:r>
      <w:r w:rsidR="00D71E07">
        <w:t xml:space="preserve"> </w:t>
      </w:r>
      <w:r w:rsidR="00D71E07">
        <w:rPr>
          <w:i/>
          <w:iCs/>
        </w:rPr>
        <w:t>coli</w:t>
      </w:r>
      <w:r w:rsidR="00D71E07">
        <w:t xml:space="preserve"> cells. However, so that the team may vary the order of the cassettes along the cascade, it should be bu</w:t>
      </w:r>
      <w:r w:rsidR="00CC5D81">
        <w:t>ilt in such a way that 8-cutter restriction enzyme binding sites</w:t>
      </w:r>
      <w:r w:rsidR="00D71E07">
        <w:t xml:space="preserve"> exist between each cassette and at</w:t>
      </w:r>
      <w:r w:rsidR="00843B43">
        <w:t xml:space="preserve"> each end of the entire circuit (see Figure 5).</w:t>
      </w:r>
      <w:r w:rsidR="000369CF">
        <w:t xml:space="preserve"> </w:t>
      </w:r>
      <w:r w:rsidR="003B3710">
        <w:t xml:space="preserve">This will allow entire cassettes to be reshuffled and also for cassettes to </w:t>
      </w:r>
      <w:r w:rsidR="00506383">
        <w:t xml:space="preserve">be </w:t>
      </w:r>
      <w:r w:rsidR="00A67EEC">
        <w:t xml:space="preserve">removed for manipulation, say, for the swapping </w:t>
      </w:r>
      <w:r w:rsidR="006F0816">
        <w:t>in/</w:t>
      </w:r>
      <w:r w:rsidR="00A67EEC">
        <w:t xml:space="preserve">out of a promoter. It would also simply allow for a cassette to be removed from the plasmid entirely, as done via </w:t>
      </w:r>
      <w:proofErr w:type="spellStart"/>
      <w:r w:rsidR="00A67EEC">
        <w:t>biobrick</w:t>
      </w:r>
      <w:proofErr w:type="spellEnd"/>
      <w:r w:rsidR="00A67EEC">
        <w:t xml:space="preserve"> assembly by the Cambridge </w:t>
      </w:r>
      <w:proofErr w:type="spellStart"/>
      <w:r w:rsidR="00A67EEC">
        <w:t>iGEM</w:t>
      </w:r>
      <w:proofErr w:type="spellEnd"/>
      <w:r w:rsidR="00A67EEC">
        <w:t xml:space="preserve"> team.</w:t>
      </w:r>
    </w:p>
    <w:p w:rsidR="00C9013B" w:rsidRDefault="00A05A1F" w:rsidP="00B26E01">
      <w:pPr>
        <w:ind w:firstLine="720"/>
      </w:pPr>
      <w:r>
        <w:t xml:space="preserve">One important issue to address is how the team will keep track of the order in which the cassettes are shuffled. To manage this </w:t>
      </w:r>
      <w:r w:rsidR="00247E41">
        <w:t>issue, I propose the team assign each specific arrangement of components (each of the potential combinations of promoter/C. dog/GOI/degradation tag</w:t>
      </w:r>
      <w:r w:rsidR="006F0816">
        <w:t xml:space="preserve"> to be used</w:t>
      </w:r>
      <w:r w:rsidR="00247E41">
        <w:t xml:space="preserve">) a specific primer sequence, referred to as a “barcode.” Additionally, each genetic circuit will be flanked by </w:t>
      </w:r>
      <w:r w:rsidR="009F609D">
        <w:t>general primer sequences that will remain unchanged throughout the research process. These two barcodes will be oriented opposite of one another, the idea being that PCR could be used to screen for length in both the forward and reverse orientation (and for each of the barcodes present) in order to determine the order in w</w:t>
      </w:r>
      <w:r w:rsidR="00822B4E">
        <w:t>hich the cassettes are arranged for a particular population of cells. T</w:t>
      </w:r>
      <w:r w:rsidR="009F609D">
        <w:t xml:space="preserve">he </w:t>
      </w:r>
      <w:r w:rsidR="00822B4E">
        <w:t xml:space="preserve">general barcode </w:t>
      </w:r>
      <w:r w:rsidR="009F609D">
        <w:t>further upstream</w:t>
      </w:r>
      <w:r w:rsidR="00E07102">
        <w:t xml:space="preserve"> will</w:t>
      </w:r>
      <w:r w:rsidR="00822B4E">
        <w:t xml:space="preserve"> be</w:t>
      </w:r>
      <w:r w:rsidR="009F609D">
        <w:t xml:space="preserve"> oriented in such a way </w:t>
      </w:r>
      <w:r w:rsidR="007B68C9">
        <w:t>that if the team were to use the</w:t>
      </w:r>
      <w:r w:rsidR="009F609D">
        <w:t xml:space="preserve"> </w:t>
      </w:r>
      <w:proofErr w:type="spellStart"/>
      <w:r w:rsidR="009F609D">
        <w:t>hin</w:t>
      </w:r>
      <w:proofErr w:type="spellEnd"/>
      <w:r w:rsidR="009F609D">
        <w:t>/</w:t>
      </w:r>
      <w:proofErr w:type="spellStart"/>
      <w:r w:rsidR="009F609D">
        <w:t>hix</w:t>
      </w:r>
      <w:proofErr w:type="spellEnd"/>
      <w:r w:rsidR="009F609D">
        <w:t xml:space="preserve"> system to flip any of the cassettes in order to test </w:t>
      </w:r>
      <w:r w:rsidR="009F609D">
        <w:lastRenderedPageBreak/>
        <w:t>their efficacy in the reverse orientation</w:t>
      </w:r>
      <w:r w:rsidR="00822B4E">
        <w:t xml:space="preserve">, </w:t>
      </w:r>
      <w:r w:rsidR="00FE1592">
        <w:t>these could be</w:t>
      </w:r>
      <w:r w:rsidR="009F609D">
        <w:t xml:space="preserve"> </w:t>
      </w:r>
      <w:proofErr w:type="spellStart"/>
      <w:r w:rsidR="009F609D">
        <w:t>primed</w:t>
      </w:r>
      <w:proofErr w:type="spellEnd"/>
      <w:r w:rsidR="00D33533">
        <w:t xml:space="preserve"> for</w:t>
      </w:r>
      <w:r w:rsidR="009934F2">
        <w:t xml:space="preserve"> and screened</w:t>
      </w:r>
      <w:r w:rsidR="009F609D">
        <w:t xml:space="preserve"> for</w:t>
      </w:r>
      <w:r w:rsidR="009934F2">
        <w:t xml:space="preserve"> length</w:t>
      </w:r>
      <w:r w:rsidR="009F609D">
        <w:t xml:space="preserve"> in the PCR process.</w:t>
      </w:r>
      <w:r w:rsidR="004A199E">
        <w:t xml:space="preserve"> </w:t>
      </w:r>
      <w:r w:rsidR="00F4053F">
        <w:t xml:space="preserve">Using the barcodes to keep track of order could allow the team to shuffle the cassettes in such a way that many different combinations could be produced simultaneous. </w:t>
      </w:r>
      <w:r w:rsidR="00040662">
        <w:t>Then cells could be selected for how much they express various attributes, like</w:t>
      </w:r>
      <w:r w:rsidR="00B26E01">
        <w:t xml:space="preserve"> the intensity</w:t>
      </w:r>
      <w:r w:rsidR="00472A1E">
        <w:t xml:space="preserve"> of purple or green pigmentation.</w:t>
      </w:r>
    </w:p>
    <w:p w:rsidR="00F4053F" w:rsidRDefault="004A199E" w:rsidP="002E7138">
      <w:pPr>
        <w:ind w:firstLine="720"/>
      </w:pPr>
      <w:r>
        <w:t xml:space="preserve">Determining the sequences for the barcodes themselves, however, </w:t>
      </w:r>
      <w:r w:rsidR="00C9013B">
        <w:t xml:space="preserve">is a challenge. Each individual cassette’s barcode, ideally, would be as different as possible from all of the other barcodes, subject to the constraint that they all have the same (or very similar) melting temperatures. I see here an opportunity for the math/computer science portion of the synthetic biology team to step in and make a useful </w:t>
      </w:r>
      <w:proofErr w:type="spellStart"/>
      <w:r w:rsidR="00C9013B">
        <w:t>webtool</w:t>
      </w:r>
      <w:proofErr w:type="spellEnd"/>
      <w:r w:rsidR="00C9013B">
        <w:t xml:space="preserve">. </w:t>
      </w:r>
      <w:r w:rsidR="004C073E">
        <w:t>The optimization problem would likely be solved with a li</w:t>
      </w:r>
      <w:r w:rsidR="00A071CE">
        <w:t>near program and would be formulated</w:t>
      </w:r>
      <w:r w:rsidR="003516CB">
        <w:t xml:space="preserve"> as follows:</w:t>
      </w:r>
      <w:r w:rsidR="00333814">
        <w:t xml:space="preserve"> g</w:t>
      </w:r>
      <w:r w:rsidR="004C073E">
        <w:t xml:space="preserve">iven length of primers, an ideal melting temperature, and a </w:t>
      </w:r>
      <w:r w:rsidR="00683643">
        <w:t xml:space="preserve">total </w:t>
      </w:r>
      <w:r w:rsidR="004C073E">
        <w:t>number of primers</w:t>
      </w:r>
      <w:r w:rsidR="00683643">
        <w:t xml:space="preserve"> to generate</w:t>
      </w:r>
      <w:r w:rsidR="004C073E">
        <w:t xml:space="preserve"> as inputs, the objective w</w:t>
      </w:r>
      <w:r w:rsidR="00683643">
        <w:t>ould be to generate a set of</w:t>
      </w:r>
      <w:r w:rsidR="004C073E">
        <w:t xml:space="preserve"> primer sequences</w:t>
      </w:r>
      <w:r w:rsidR="00683643">
        <w:t>, each</w:t>
      </w:r>
      <w:r w:rsidR="004C073E">
        <w:t xml:space="preserve"> of the</w:t>
      </w:r>
      <w:r w:rsidR="002E7138">
        <w:t xml:space="preserve"> user-defined</w:t>
      </w:r>
      <w:r w:rsidR="004C073E">
        <w:t xml:space="preserve"> length</w:t>
      </w:r>
      <w:r w:rsidR="00683643">
        <w:t>,</w:t>
      </w:r>
      <w:r w:rsidR="004C073E">
        <w:t xml:space="preserve"> subject to the constraint that each </w:t>
      </w:r>
      <w:r w:rsidR="00683643">
        <w:t>have the same G/C content.</w:t>
      </w:r>
      <w:r w:rsidR="00B37F61">
        <w:t xml:space="preserve"> This could evolve into an online database</w:t>
      </w:r>
      <w:r w:rsidR="00273F3C">
        <w:t xml:space="preserve"> specific to individual users</w:t>
      </w:r>
      <w:r w:rsidR="00B37F61">
        <w:t xml:space="preserve"> wherein cassettes are</w:t>
      </w:r>
      <w:r w:rsidR="007A2DF7">
        <w:t xml:space="preserve"> recorded and</w:t>
      </w:r>
      <w:r w:rsidR="00B37F61">
        <w:t xml:space="preserve"> as</w:t>
      </w:r>
      <w:r w:rsidR="0001018F">
        <w:t>sociated with specific barcodes</w:t>
      </w:r>
      <w:r w:rsidR="00B37F61">
        <w:t xml:space="preserve"> such th</w:t>
      </w:r>
      <w:r w:rsidR="002F278C">
        <w:t>at none would be reused.</w:t>
      </w:r>
    </w:p>
    <w:p w:rsidR="00804DCA" w:rsidRDefault="007D5095" w:rsidP="003D5C6C">
      <w:pPr>
        <w:ind w:firstLine="720"/>
      </w:pPr>
      <w:r>
        <w:t xml:space="preserve">Another important consideration is the manner in which the plasmids containing the genetic circuits will be transformed into </w:t>
      </w:r>
      <w:r>
        <w:rPr>
          <w:i/>
          <w:iCs/>
        </w:rPr>
        <w:t>E. coli</w:t>
      </w:r>
      <w:r>
        <w:t>.</w:t>
      </w:r>
      <w:r w:rsidR="00A53634">
        <w:t xml:space="preserve"> I recommend CRIM plasmids be used, as these will maximize the modularity of the system. Their integration allows for direct transformation of plasmids with </w:t>
      </w:r>
      <w:proofErr w:type="spellStart"/>
      <w:r w:rsidR="00A53634">
        <w:t>Integrase</w:t>
      </w:r>
      <w:proofErr w:type="spellEnd"/>
      <w:r w:rsidR="00A53634">
        <w:t xml:space="preserve">. Furthermore, removal is site-specific and keeps </w:t>
      </w:r>
      <w:r w:rsidR="00933369">
        <w:t>the integration site (</w:t>
      </w:r>
      <w:proofErr w:type="spellStart"/>
      <w:r w:rsidR="00933369">
        <w:t>attB</w:t>
      </w:r>
      <w:proofErr w:type="spellEnd"/>
      <w:r w:rsidR="00933369">
        <w:t>) intact such that integration may be repeated, similar to the double cloning process with type II restriction enzymes. Also, removed plasmids are identical to those inserted, so that the exact organization of the cassett</w:t>
      </w:r>
      <w:r w:rsidR="0012300A">
        <w:t>es selected for</w:t>
      </w:r>
      <w:r w:rsidR="00B40CB5">
        <w:t xml:space="preserve"> can be verified and reproduced</w:t>
      </w:r>
      <w:r w:rsidR="00192794">
        <w:t xml:space="preserve"> or varied as</w:t>
      </w:r>
      <w:r w:rsidR="00B40CB5">
        <w:t xml:space="preserve"> desired</w:t>
      </w:r>
      <w:r w:rsidR="004E7139">
        <w:rPr>
          <w:vertAlign w:val="superscript"/>
        </w:rPr>
        <w:t>7</w:t>
      </w:r>
      <w:r w:rsidR="00B40CB5">
        <w:t xml:space="preserve">. </w:t>
      </w:r>
    </w:p>
    <w:p w:rsidR="00804DCA" w:rsidRDefault="007D2262" w:rsidP="00421CB1">
      <w:pPr>
        <w:jc w:val="center"/>
      </w:pPr>
      <w:r>
        <w:rPr>
          <w:noProof/>
        </w:rPr>
        <w:lastRenderedPageBreak/>
        <w:drawing>
          <wp:inline distT="0" distB="0" distL="0" distR="0" wp14:anchorId="611E1721" wp14:editId="5A6A30F1">
            <wp:extent cx="2818897" cy="3163936"/>
            <wp:effectExtent l="0" t="0" r="635" b="0"/>
            <wp:docPr id="3" name="Picture 3" descr="http://partsregistry.org/wiki/images/5/5b/SloViolacein-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tsregistry.org/wiki/images/5/5b/SloViolacein-p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269" cy="3172210"/>
                    </a:xfrm>
                    <a:prstGeom prst="rect">
                      <a:avLst/>
                    </a:prstGeom>
                    <a:noFill/>
                    <a:ln>
                      <a:noFill/>
                    </a:ln>
                  </pic:spPr>
                </pic:pic>
              </a:graphicData>
            </a:graphic>
          </wp:inline>
        </w:drawing>
      </w:r>
    </w:p>
    <w:p w:rsidR="00AF706F" w:rsidRDefault="00AF706F" w:rsidP="00AF706F">
      <w:pPr>
        <w:ind w:left="720"/>
      </w:pPr>
      <w:r>
        <w:rPr>
          <w:b/>
          <w:bCs/>
        </w:rPr>
        <w:t>Figure 1</w:t>
      </w:r>
      <w:r>
        <w:t xml:space="preserve"> Biosynthetic pathway of L-tryptophan into </w:t>
      </w:r>
      <w:proofErr w:type="spellStart"/>
      <w:r>
        <w:t>violacein</w:t>
      </w:r>
      <w:proofErr w:type="spellEnd"/>
      <w:r>
        <w:t xml:space="preserve">, </w:t>
      </w:r>
      <w:proofErr w:type="spellStart"/>
      <w:r>
        <w:t>deoxychromoviridans</w:t>
      </w:r>
      <w:proofErr w:type="spellEnd"/>
      <w:r>
        <w:t>, and deoxyviolacein</w:t>
      </w:r>
      <w:r w:rsidR="00B51937">
        <w:rPr>
          <w:vertAlign w:val="superscript"/>
        </w:rPr>
        <w:t>3</w:t>
      </w:r>
      <w:r>
        <w:t>.</w:t>
      </w:r>
    </w:p>
    <w:p w:rsidR="00AF706F" w:rsidRPr="00AF706F" w:rsidRDefault="00AF706F" w:rsidP="00AF706F">
      <w:pPr>
        <w:ind w:left="720"/>
      </w:pPr>
    </w:p>
    <w:p w:rsidR="00AF706F" w:rsidRDefault="000369CF" w:rsidP="000369CF">
      <w:pPr>
        <w:jc w:val="center"/>
      </w:pPr>
      <w:r>
        <w:rPr>
          <w:noProof/>
        </w:rPr>
        <w:drawing>
          <wp:inline distT="0" distB="0" distL="0" distR="0" wp14:anchorId="36E4733B" wp14:editId="75256490">
            <wp:extent cx="4152224" cy="2879642"/>
            <wp:effectExtent l="0" t="0" r="127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234" cy="2879649"/>
                    </a:xfrm>
                    <a:prstGeom prst="rect">
                      <a:avLst/>
                    </a:prstGeom>
                    <a:noFill/>
                  </pic:spPr>
                </pic:pic>
              </a:graphicData>
            </a:graphic>
          </wp:inline>
        </w:drawing>
      </w:r>
    </w:p>
    <w:p w:rsidR="00AF706F" w:rsidRDefault="00AF706F" w:rsidP="00A36ADC">
      <w:pPr>
        <w:ind w:left="720"/>
      </w:pPr>
      <w:r>
        <w:rPr>
          <w:b/>
          <w:bCs/>
        </w:rPr>
        <w:t>Figure 2</w:t>
      </w:r>
      <w:r>
        <w:t xml:space="preserve"> Example gene</w:t>
      </w:r>
      <w:r w:rsidR="00A36ADC">
        <w:t xml:space="preserve">tic </w:t>
      </w:r>
      <w:proofErr w:type="gramStart"/>
      <w:r w:rsidR="00A36ADC">
        <w:t>circuit</w:t>
      </w:r>
      <w:proofErr w:type="gramEnd"/>
      <w:r>
        <w:t xml:space="preserve"> composed of five c</w:t>
      </w:r>
      <w:r w:rsidR="007054F6">
        <w:t>assettes, each</w:t>
      </w:r>
      <w:r w:rsidR="00F742AA">
        <w:t xml:space="preserve"> containing a promoter, RBS, </w:t>
      </w:r>
      <w:proofErr w:type="spellStart"/>
      <w:r w:rsidR="00F742AA">
        <w:t>vio</w:t>
      </w:r>
      <w:r w:rsidR="00DD6C3C">
        <w:t>ABCDE</w:t>
      </w:r>
      <w:proofErr w:type="spellEnd"/>
      <w:r w:rsidR="007054F6">
        <w:t xml:space="preserve"> gene, and degradation tag.</w:t>
      </w:r>
    </w:p>
    <w:p w:rsidR="00BD1C2B" w:rsidRDefault="00BD1C2B" w:rsidP="00B737EE">
      <w:r>
        <w:rPr>
          <w:noProof/>
        </w:rPr>
        <w:lastRenderedPageBreak/>
        <w:drawing>
          <wp:inline distT="0" distB="0" distL="0" distR="0" wp14:anchorId="368FE91D" wp14:editId="49EEE0AA">
            <wp:extent cx="5943600" cy="2099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099945"/>
                    </a:xfrm>
                    <a:prstGeom prst="rect">
                      <a:avLst/>
                    </a:prstGeom>
                  </pic:spPr>
                </pic:pic>
              </a:graphicData>
            </a:graphic>
          </wp:inline>
        </w:drawing>
      </w:r>
    </w:p>
    <w:p w:rsidR="00BD1C2B" w:rsidRPr="00BD1C2B" w:rsidRDefault="00BD1C2B" w:rsidP="00FE6F4C">
      <w:pPr>
        <w:ind w:left="720" w:hanging="720"/>
      </w:pPr>
      <w:r>
        <w:tab/>
      </w:r>
      <w:r>
        <w:rPr>
          <w:b/>
          <w:bCs/>
        </w:rPr>
        <w:t>Figure 3</w:t>
      </w:r>
      <w:r>
        <w:t xml:space="preserve"> C. dog construct</w:t>
      </w:r>
      <w:r w:rsidR="00EF28B1">
        <w:rPr>
          <w:vertAlign w:val="superscript"/>
        </w:rPr>
        <w:t>4</w:t>
      </w:r>
      <w:r w:rsidR="000369CF">
        <w:t>.</w:t>
      </w:r>
    </w:p>
    <w:p w:rsidR="00421CB1" w:rsidRDefault="00421CB1" w:rsidP="00804DCA"/>
    <w:p w:rsidR="000369CF" w:rsidRDefault="000369CF" w:rsidP="00804DCA"/>
    <w:p w:rsidR="00421CB1" w:rsidRDefault="00421CB1" w:rsidP="00421CB1">
      <w:pPr>
        <w:jc w:val="center"/>
      </w:pPr>
      <w:r>
        <w:rPr>
          <w:noProof/>
        </w:rPr>
        <w:drawing>
          <wp:inline distT="0" distB="0" distL="0" distR="0" wp14:anchorId="6C2DBF82" wp14:editId="3218D1B1">
            <wp:extent cx="5714588" cy="3485072"/>
            <wp:effectExtent l="0" t="0" r="0" b="127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588" cy="3494830"/>
                    </a:xfrm>
                    <a:prstGeom prst="rect">
                      <a:avLst/>
                    </a:prstGeom>
                    <a:noFill/>
                  </pic:spPr>
                </pic:pic>
              </a:graphicData>
            </a:graphic>
          </wp:inline>
        </w:drawing>
      </w:r>
    </w:p>
    <w:p w:rsidR="00750E77" w:rsidRDefault="00417EF8" w:rsidP="004F5E83">
      <w:pPr>
        <w:ind w:left="720"/>
      </w:pPr>
      <w:r>
        <w:rPr>
          <w:b/>
          <w:bCs/>
        </w:rPr>
        <w:t>Figure 4</w:t>
      </w:r>
      <w:r w:rsidR="00421CB1">
        <w:t xml:space="preserve"> </w:t>
      </w:r>
      <w:r w:rsidR="00750E77">
        <w:t xml:space="preserve">Double </w:t>
      </w:r>
      <w:r w:rsidR="00421CB1">
        <w:t>cloning with type II restriction enzymes</w:t>
      </w:r>
      <w:r w:rsidR="00A5644B">
        <w:t xml:space="preserve">. </w:t>
      </w:r>
      <w:proofErr w:type="gramStart"/>
      <w:r w:rsidR="00A5644B">
        <w:t>Example swap-</w:t>
      </w:r>
      <w:r w:rsidR="00750E77">
        <w:t>out with Golden Gate Assembly.</w:t>
      </w:r>
      <w:proofErr w:type="gramEnd"/>
    </w:p>
    <w:p w:rsidR="00750E77" w:rsidRDefault="00750E77" w:rsidP="00750E77">
      <w:pPr>
        <w:ind w:left="720"/>
      </w:pPr>
    </w:p>
    <w:p w:rsidR="000369CF" w:rsidRDefault="000369CF" w:rsidP="00991A61"/>
    <w:p w:rsidR="00991A61" w:rsidRDefault="00991A61" w:rsidP="00991A61">
      <w:pPr>
        <w:ind w:left="720"/>
        <w:jc w:val="center"/>
      </w:pPr>
      <w:r>
        <w:rPr>
          <w:noProof/>
        </w:rPr>
        <w:lastRenderedPageBreak/>
        <w:drawing>
          <wp:inline distT="0" distB="0" distL="0" distR="0" wp14:anchorId="7D3149B1" wp14:editId="66E4F5B2">
            <wp:extent cx="5210355" cy="3006973"/>
            <wp:effectExtent l="0" t="0" r="0" b="317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6870" cy="3010733"/>
                    </a:xfrm>
                    <a:prstGeom prst="rect">
                      <a:avLst/>
                    </a:prstGeom>
                    <a:noFill/>
                  </pic:spPr>
                </pic:pic>
              </a:graphicData>
            </a:graphic>
          </wp:inline>
        </w:drawing>
      </w:r>
    </w:p>
    <w:p w:rsidR="008F1BBF" w:rsidRDefault="00991A61" w:rsidP="00603519">
      <w:pPr>
        <w:ind w:left="720"/>
      </w:pPr>
      <w:r>
        <w:rPr>
          <w:b/>
          <w:bCs/>
        </w:rPr>
        <w:t>Figure 5</w:t>
      </w:r>
      <w:r>
        <w:t xml:space="preserve"> Genetic circuit with </w:t>
      </w:r>
      <w:r w:rsidR="00B04C6F">
        <w:t>8-</w:t>
      </w:r>
      <w:r w:rsidR="00603519">
        <w:t>cutter r</w:t>
      </w:r>
      <w:r w:rsidR="004C6827">
        <w:t>estriction enzyme binding sites (purple circles).</w:t>
      </w:r>
    </w:p>
    <w:p w:rsidR="008F1BBF" w:rsidRDefault="008F1BBF" w:rsidP="004F5E83">
      <w:pPr>
        <w:ind w:left="720"/>
      </w:pPr>
    </w:p>
    <w:p w:rsidR="00A63C29" w:rsidRDefault="00A63C29" w:rsidP="004F5E83">
      <w:pPr>
        <w:ind w:left="720"/>
      </w:pPr>
      <w:r>
        <w:rPr>
          <w:noProof/>
        </w:rPr>
        <w:drawing>
          <wp:inline distT="0" distB="0" distL="0" distR="0" wp14:anchorId="78B2AB2A" wp14:editId="795D73F9">
            <wp:extent cx="5167223" cy="2820899"/>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1173" cy="2823055"/>
                    </a:xfrm>
                    <a:prstGeom prst="rect">
                      <a:avLst/>
                    </a:prstGeom>
                    <a:noFill/>
                  </pic:spPr>
                </pic:pic>
              </a:graphicData>
            </a:graphic>
          </wp:inline>
        </w:drawing>
      </w:r>
    </w:p>
    <w:p w:rsidR="00A63C29" w:rsidRDefault="00A63C29" w:rsidP="00A63C29">
      <w:pPr>
        <w:ind w:left="720"/>
      </w:pPr>
      <w:r>
        <w:rPr>
          <w:b/>
          <w:bCs/>
        </w:rPr>
        <w:t>Figure 6</w:t>
      </w:r>
      <w:r w:rsidR="00FF7323">
        <w:t xml:space="preserve"> </w:t>
      </w:r>
      <w:proofErr w:type="gramStart"/>
      <w:r w:rsidR="002F0B9F">
        <w:t>Final example</w:t>
      </w:r>
      <w:r w:rsidR="00FF7323">
        <w:t xml:space="preserve"> g</w:t>
      </w:r>
      <w:r>
        <w:t>enetic circuit</w:t>
      </w:r>
      <w:proofErr w:type="gramEnd"/>
      <w:r>
        <w:t xml:space="preserve"> with barcodes (</w:t>
      </w:r>
      <w:r w:rsidR="004C5601">
        <w:t xml:space="preserve">thin, </w:t>
      </w:r>
      <w:r>
        <w:t>straight arrows).</w:t>
      </w:r>
    </w:p>
    <w:p w:rsidR="00804DCA" w:rsidRPr="00421CB1" w:rsidRDefault="00804DCA" w:rsidP="001D34AE">
      <w:pPr>
        <w:ind w:firstLine="360"/>
      </w:pPr>
      <w:r w:rsidRPr="00421CB1">
        <w:br w:type="page"/>
      </w:r>
      <w:r w:rsidRPr="00421CB1">
        <w:rPr>
          <w:b/>
          <w:bCs/>
        </w:rPr>
        <w:lastRenderedPageBreak/>
        <w:t>Sources</w:t>
      </w:r>
    </w:p>
    <w:p w:rsidR="00616B03" w:rsidRDefault="009425BC" w:rsidP="00753965">
      <w:pPr>
        <w:pStyle w:val="ListParagraph"/>
        <w:numPr>
          <w:ilvl w:val="0"/>
          <w:numId w:val="1"/>
        </w:numPr>
      </w:pPr>
      <w:r>
        <w:t xml:space="preserve">Jiang P, Wang H, Chong Z, Lou K, Xing X (2009) </w:t>
      </w:r>
      <w:r w:rsidR="00753965">
        <w:t xml:space="preserve">Reconstruction of the </w:t>
      </w:r>
      <w:proofErr w:type="spellStart"/>
      <w:r w:rsidR="00753965">
        <w:t>violacein</w:t>
      </w:r>
      <w:proofErr w:type="spellEnd"/>
      <w:r w:rsidR="00753965">
        <w:t xml:space="preserve"> </w:t>
      </w:r>
    </w:p>
    <w:p w:rsidR="00616B03" w:rsidRDefault="00753965" w:rsidP="00616B03">
      <w:pPr>
        <w:pStyle w:val="ListParagraph"/>
        <w:ind w:firstLine="720"/>
      </w:pPr>
      <w:proofErr w:type="spellStart"/>
      <w:proofErr w:type="gramStart"/>
      <w:r>
        <w:t>biosenthetic</w:t>
      </w:r>
      <w:proofErr w:type="spellEnd"/>
      <w:proofErr w:type="gramEnd"/>
      <w:r>
        <w:t xml:space="preserve"> pathway from </w:t>
      </w:r>
      <w:proofErr w:type="spellStart"/>
      <w:r w:rsidRPr="009425BC">
        <w:rPr>
          <w:i/>
          <w:iCs/>
        </w:rPr>
        <w:t>Duganella</w:t>
      </w:r>
      <w:proofErr w:type="spellEnd"/>
      <w:r>
        <w:t xml:space="preserve"> sp. B2 in different heterologous hosts</w:t>
      </w:r>
      <w:r w:rsidR="009425BC">
        <w:t xml:space="preserve">. </w:t>
      </w:r>
      <w:proofErr w:type="spellStart"/>
      <w:r w:rsidR="009425BC">
        <w:t>Appl</w:t>
      </w:r>
      <w:proofErr w:type="spellEnd"/>
      <w:r w:rsidR="009425BC">
        <w:t xml:space="preserve"> </w:t>
      </w:r>
    </w:p>
    <w:p w:rsidR="00753965" w:rsidRDefault="009425BC" w:rsidP="00616B03">
      <w:pPr>
        <w:pStyle w:val="ListParagraph"/>
        <w:ind w:firstLine="720"/>
      </w:pPr>
      <w:proofErr w:type="spellStart"/>
      <w:r>
        <w:t>Microbiol</w:t>
      </w:r>
      <w:proofErr w:type="spellEnd"/>
      <w:r>
        <w:t xml:space="preserve"> </w:t>
      </w:r>
      <w:proofErr w:type="spellStart"/>
      <w:r>
        <w:t>Biotechnol</w:t>
      </w:r>
      <w:proofErr w:type="spellEnd"/>
      <w:r>
        <w:t xml:space="preserve"> 86:1077-1088.</w:t>
      </w:r>
    </w:p>
    <w:p w:rsidR="004B4982" w:rsidRDefault="00D307B3" w:rsidP="001D34AE">
      <w:pPr>
        <w:pStyle w:val="ListParagraph"/>
        <w:numPr>
          <w:ilvl w:val="0"/>
          <w:numId w:val="1"/>
        </w:numPr>
      </w:pPr>
      <w:r>
        <w:t xml:space="preserve">Cambridge </w:t>
      </w:r>
      <w:proofErr w:type="spellStart"/>
      <w:r>
        <w:t>iGEM</w:t>
      </w:r>
      <w:proofErr w:type="spellEnd"/>
      <w:r>
        <w:t xml:space="preserve"> 2009. </w:t>
      </w:r>
      <w:hyperlink r:id="rId14" w:history="1">
        <w:r w:rsidR="00D547DA" w:rsidRPr="00616B03">
          <w:rPr>
            <w:rStyle w:val="Hyperlink"/>
          </w:rPr>
          <w:t>http://2009.igem.org/Team:Cambridge/Project/VI01</w:t>
        </w:r>
      </w:hyperlink>
      <w:r w:rsidR="005B544A" w:rsidRPr="00616B03">
        <w:t xml:space="preserve">. </w:t>
      </w:r>
    </w:p>
    <w:p w:rsidR="00D547DA" w:rsidRPr="00616B03" w:rsidRDefault="005B544A" w:rsidP="004B4982">
      <w:pPr>
        <w:pStyle w:val="ListParagraph"/>
        <w:ind w:left="1080" w:firstLine="360"/>
      </w:pPr>
      <w:proofErr w:type="gramStart"/>
      <w:r w:rsidRPr="00616B03">
        <w:t>Accessed May 11, 2012.</w:t>
      </w:r>
      <w:proofErr w:type="gramEnd"/>
    </w:p>
    <w:p w:rsidR="00A450FD" w:rsidRDefault="00FA503C" w:rsidP="0076721E">
      <w:pPr>
        <w:pStyle w:val="ListParagraph"/>
        <w:numPr>
          <w:ilvl w:val="0"/>
          <w:numId w:val="1"/>
        </w:numPr>
      </w:pPr>
      <w:r>
        <w:t xml:space="preserve">Registry of Standard Biological Parts. </w:t>
      </w:r>
    </w:p>
    <w:p w:rsidR="0076721E" w:rsidRDefault="00FD3DDD" w:rsidP="00A450FD">
      <w:pPr>
        <w:pStyle w:val="ListParagraph"/>
        <w:ind w:left="1080" w:firstLine="360"/>
      </w:pPr>
      <w:hyperlink r:id="rId15" w:history="1">
        <w:r w:rsidRPr="00D307B3">
          <w:rPr>
            <w:rStyle w:val="Hyperlink"/>
          </w:rPr>
          <w:t>http://partsregistry.org/Image:SloViolace</w:t>
        </w:r>
        <w:r w:rsidRPr="00FA503C">
          <w:rPr>
            <w:rStyle w:val="Hyperlink"/>
          </w:rPr>
          <w:t>in-pot.jpg</w:t>
        </w:r>
      </w:hyperlink>
      <w:r w:rsidR="005B544A" w:rsidRPr="00FA503C">
        <w:t xml:space="preserve">. </w:t>
      </w:r>
      <w:proofErr w:type="gramStart"/>
      <w:r w:rsidR="005B544A" w:rsidRPr="00FA503C">
        <w:t>Acces</w:t>
      </w:r>
      <w:r w:rsidR="005B544A">
        <w:t>sed May 11, 2012.</w:t>
      </w:r>
      <w:proofErr w:type="gramEnd"/>
    </w:p>
    <w:p w:rsidR="00616B03" w:rsidRDefault="00710D35" w:rsidP="00616B03">
      <w:pPr>
        <w:pStyle w:val="ListParagraph"/>
        <w:numPr>
          <w:ilvl w:val="0"/>
          <w:numId w:val="1"/>
        </w:numPr>
      </w:pPr>
      <w:proofErr w:type="spellStart"/>
      <w:r w:rsidRPr="00FA503C">
        <w:t>Mutalik</w:t>
      </w:r>
      <w:proofErr w:type="spellEnd"/>
      <w:r w:rsidRPr="00FA503C">
        <w:t xml:space="preserve">, </w:t>
      </w:r>
      <w:proofErr w:type="spellStart"/>
      <w:r w:rsidRPr="00FA503C">
        <w:t>Vivek</w:t>
      </w:r>
      <w:proofErr w:type="spellEnd"/>
      <w:r w:rsidRPr="00FA503C">
        <w:t xml:space="preserve"> </w:t>
      </w:r>
      <w:r w:rsidRPr="00FA503C">
        <w:rPr>
          <w:i/>
          <w:iCs/>
        </w:rPr>
        <w:t>et al.</w:t>
      </w:r>
      <w:r w:rsidRPr="00FA503C">
        <w:t xml:space="preserve"> </w:t>
      </w:r>
      <w:r w:rsidRPr="00616B03">
        <w:t xml:space="preserve">BIOFAB, </w:t>
      </w:r>
      <w:proofErr w:type="spellStart"/>
      <w:r w:rsidRPr="00616B03">
        <w:t>Emryville</w:t>
      </w:r>
      <w:proofErr w:type="spellEnd"/>
      <w:r w:rsidRPr="00616B03">
        <w:t xml:space="preserve">. </w:t>
      </w:r>
    </w:p>
    <w:p w:rsidR="00710D35" w:rsidRDefault="00616B03" w:rsidP="00616B03">
      <w:pPr>
        <w:pStyle w:val="ListParagraph"/>
        <w:ind w:left="1440"/>
      </w:pPr>
      <w:hyperlink r:id="rId16" w:history="1">
        <w:proofErr w:type="gramStart"/>
        <w:r w:rsidRPr="00DF3216">
          <w:rPr>
            <w:rStyle w:val="Hyperlink"/>
          </w:rPr>
          <w:t xml:space="preserve">http://gcat.davidson.edu/mediawik </w:t>
        </w:r>
        <w:r w:rsidRPr="00DF3216">
          <w:rPr>
            <w:rStyle w:val="Hyperlink"/>
          </w:rPr>
          <w:t xml:space="preserve">  i</w:t>
        </w:r>
        <w:r w:rsidRPr="00DF3216">
          <w:rPr>
            <w:rStyle w:val="Hyperlink"/>
          </w:rPr>
          <w:t>1.15.0/images/5/5b/C_dog_concept.pdf</w:t>
        </w:r>
      </w:hyperlink>
      <w:r w:rsidR="00710D35">
        <w:t>.</w:t>
      </w:r>
      <w:proofErr w:type="gramEnd"/>
      <w:r w:rsidR="005B544A">
        <w:t xml:space="preserve"> </w:t>
      </w:r>
      <w:proofErr w:type="gramStart"/>
      <w:r w:rsidR="005B544A">
        <w:t>Accessed May 11, 2012.</w:t>
      </w:r>
      <w:proofErr w:type="gramEnd"/>
    </w:p>
    <w:p w:rsidR="002D2945" w:rsidRDefault="002D2945" w:rsidP="00AE06CD">
      <w:pPr>
        <w:pStyle w:val="ListParagraph"/>
        <w:numPr>
          <w:ilvl w:val="0"/>
          <w:numId w:val="1"/>
        </w:numPr>
      </w:pPr>
      <w:proofErr w:type="spellStart"/>
      <w:r>
        <w:t>Endy</w:t>
      </w:r>
      <w:proofErr w:type="spellEnd"/>
      <w:r>
        <w:t>, D</w:t>
      </w:r>
      <w:bookmarkStart w:id="0" w:name="_GoBack"/>
      <w:bookmarkEnd w:id="0"/>
      <w:r>
        <w:t xml:space="preserve">. </w:t>
      </w:r>
      <w:r>
        <w:rPr>
          <w:i/>
          <w:iCs/>
        </w:rPr>
        <w:t>C. dog</w:t>
      </w:r>
      <w:r>
        <w:t xml:space="preserve">. </w:t>
      </w:r>
      <w:proofErr w:type="spellStart"/>
      <w:r>
        <w:t>Bicistronic</w:t>
      </w:r>
      <w:proofErr w:type="spellEnd"/>
      <w:r>
        <w:t xml:space="preserve"> Translational Junction. Stanford.</w:t>
      </w:r>
    </w:p>
    <w:p w:rsidR="00C31E91" w:rsidRDefault="0041153C" w:rsidP="001D34AE">
      <w:pPr>
        <w:pStyle w:val="ListParagraph"/>
        <w:numPr>
          <w:ilvl w:val="0"/>
          <w:numId w:val="1"/>
        </w:numPr>
      </w:pPr>
      <w:r>
        <w:t xml:space="preserve">New England </w:t>
      </w:r>
      <w:proofErr w:type="spellStart"/>
      <w:r>
        <w:t>BioLabs</w:t>
      </w:r>
      <w:proofErr w:type="spellEnd"/>
      <w:r>
        <w:t xml:space="preserve">. </w:t>
      </w:r>
      <w:hyperlink r:id="rId17" w:history="1">
        <w:r w:rsidR="00616B03" w:rsidRPr="00DF3216">
          <w:rPr>
            <w:rStyle w:val="Hyperlink"/>
          </w:rPr>
          <w:t>http://www.neb.com/nebecomm/default.asp</w:t>
        </w:r>
      </w:hyperlink>
      <w:r w:rsidR="00616B03">
        <w:t xml:space="preserve">. Accessed May </w:t>
      </w:r>
    </w:p>
    <w:p w:rsidR="0041153C" w:rsidRDefault="00616B03" w:rsidP="00C31E91">
      <w:pPr>
        <w:pStyle w:val="ListParagraph"/>
        <w:ind w:left="1080" w:firstLine="360"/>
      </w:pPr>
      <w:proofErr w:type="gramStart"/>
      <w:r>
        <w:t>11, 2012.</w:t>
      </w:r>
      <w:proofErr w:type="gramEnd"/>
    </w:p>
    <w:p w:rsidR="001401DF" w:rsidRDefault="009425BC" w:rsidP="00710D35">
      <w:pPr>
        <w:pStyle w:val="ListParagraph"/>
        <w:numPr>
          <w:ilvl w:val="0"/>
          <w:numId w:val="1"/>
        </w:numPr>
      </w:pPr>
      <w:proofErr w:type="spellStart"/>
      <w:r>
        <w:t>Haldimann</w:t>
      </w:r>
      <w:proofErr w:type="spellEnd"/>
      <w:r w:rsidR="00095278">
        <w:t xml:space="preserve"> A, </w:t>
      </w:r>
      <w:proofErr w:type="spellStart"/>
      <w:r w:rsidR="00095278">
        <w:t>Wanner</w:t>
      </w:r>
      <w:proofErr w:type="spellEnd"/>
      <w:r w:rsidR="00095278">
        <w:t xml:space="preserve"> BL (2001) Conditional</w:t>
      </w:r>
      <w:r w:rsidR="007A0386">
        <w:t xml:space="preserve">-Replication, Integration, Excision, and </w:t>
      </w:r>
    </w:p>
    <w:p w:rsidR="002A73CD" w:rsidRDefault="007A0386" w:rsidP="002A73CD">
      <w:pPr>
        <w:ind w:left="720" w:firstLine="720"/>
      </w:pPr>
      <w:r>
        <w:t xml:space="preserve">Retrieval Plasmid-Host Systems for Gene Structure-Function Studies of Bacteria. </w:t>
      </w:r>
    </w:p>
    <w:p w:rsidR="00095278" w:rsidRPr="00710D35" w:rsidRDefault="007A0386" w:rsidP="002A73CD">
      <w:pPr>
        <w:ind w:left="720" w:firstLine="720"/>
      </w:pPr>
      <w:r>
        <w:t>Journal of Bacteriology 182(21):6284-6393.</w:t>
      </w:r>
    </w:p>
    <w:p w:rsidR="005D0D4B" w:rsidRPr="00710D35" w:rsidRDefault="005D0D4B" w:rsidP="005D0D4B">
      <w:pPr>
        <w:pStyle w:val="ListParagraph"/>
      </w:pPr>
    </w:p>
    <w:sectPr w:rsidR="005D0D4B" w:rsidRPr="00710D35" w:rsidSect="00CF1C7B">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7B" w:rsidRDefault="00CF1C7B" w:rsidP="00CF1C7B">
      <w:pPr>
        <w:spacing w:line="240" w:lineRule="auto"/>
      </w:pPr>
      <w:r>
        <w:separator/>
      </w:r>
    </w:p>
  </w:endnote>
  <w:endnote w:type="continuationSeparator" w:id="0">
    <w:p w:rsidR="00CF1C7B" w:rsidRDefault="00CF1C7B" w:rsidP="00CF1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7B" w:rsidRDefault="00CF1C7B" w:rsidP="00CF1C7B">
      <w:pPr>
        <w:spacing w:line="240" w:lineRule="auto"/>
      </w:pPr>
      <w:r>
        <w:separator/>
      </w:r>
    </w:p>
  </w:footnote>
  <w:footnote w:type="continuationSeparator" w:id="0">
    <w:p w:rsidR="00CF1C7B" w:rsidRDefault="00CF1C7B" w:rsidP="00CF1C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7B" w:rsidRDefault="00CF1C7B">
    <w:pPr>
      <w:pStyle w:val="Header"/>
      <w:jc w:val="right"/>
    </w:pPr>
    <w:r>
      <w:t xml:space="preserve">DeLoache </w:t>
    </w:r>
    <w:sdt>
      <w:sdtPr>
        <w:id w:val="723239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06CD">
          <w:rPr>
            <w:noProof/>
          </w:rPr>
          <w:t>9</w:t>
        </w:r>
        <w:r>
          <w:rPr>
            <w:noProof/>
          </w:rPr>
          <w:fldChar w:fldCharType="end"/>
        </w:r>
      </w:sdtContent>
    </w:sdt>
  </w:p>
  <w:p w:rsidR="00CF1C7B" w:rsidRDefault="00CF1C7B" w:rsidP="00CF1C7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7B" w:rsidRDefault="00CF1C7B" w:rsidP="00CF1C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02F39"/>
    <w:multiLevelType w:val="hybridMultilevel"/>
    <w:tmpl w:val="3F1A3A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44CCD"/>
    <w:multiLevelType w:val="hybridMultilevel"/>
    <w:tmpl w:val="555C33B8"/>
    <w:lvl w:ilvl="0" w:tplc="9E0E0A14">
      <w:start w:val="1"/>
      <w:numFmt w:val="bullet"/>
      <w:lvlText w:val="•"/>
      <w:lvlJc w:val="left"/>
      <w:pPr>
        <w:tabs>
          <w:tab w:val="num" w:pos="1440"/>
        </w:tabs>
        <w:ind w:left="1440" w:hanging="360"/>
      </w:pPr>
      <w:rPr>
        <w:rFonts w:ascii="Arial" w:hAnsi="Arial" w:hint="default"/>
      </w:rPr>
    </w:lvl>
    <w:lvl w:ilvl="1" w:tplc="0D389584" w:tentative="1">
      <w:start w:val="1"/>
      <w:numFmt w:val="bullet"/>
      <w:lvlText w:val="•"/>
      <w:lvlJc w:val="left"/>
      <w:pPr>
        <w:tabs>
          <w:tab w:val="num" w:pos="2160"/>
        </w:tabs>
        <w:ind w:left="2160" w:hanging="360"/>
      </w:pPr>
      <w:rPr>
        <w:rFonts w:ascii="Arial" w:hAnsi="Arial" w:hint="default"/>
      </w:rPr>
    </w:lvl>
    <w:lvl w:ilvl="2" w:tplc="72BC0E9A" w:tentative="1">
      <w:start w:val="1"/>
      <w:numFmt w:val="bullet"/>
      <w:lvlText w:val="•"/>
      <w:lvlJc w:val="left"/>
      <w:pPr>
        <w:tabs>
          <w:tab w:val="num" w:pos="2880"/>
        </w:tabs>
        <w:ind w:left="2880" w:hanging="360"/>
      </w:pPr>
      <w:rPr>
        <w:rFonts w:ascii="Arial" w:hAnsi="Arial" w:hint="default"/>
      </w:rPr>
    </w:lvl>
    <w:lvl w:ilvl="3" w:tplc="ABD0EFD4" w:tentative="1">
      <w:start w:val="1"/>
      <w:numFmt w:val="bullet"/>
      <w:lvlText w:val="•"/>
      <w:lvlJc w:val="left"/>
      <w:pPr>
        <w:tabs>
          <w:tab w:val="num" w:pos="3600"/>
        </w:tabs>
        <w:ind w:left="3600" w:hanging="360"/>
      </w:pPr>
      <w:rPr>
        <w:rFonts w:ascii="Arial" w:hAnsi="Arial" w:hint="default"/>
      </w:rPr>
    </w:lvl>
    <w:lvl w:ilvl="4" w:tplc="271250F8" w:tentative="1">
      <w:start w:val="1"/>
      <w:numFmt w:val="bullet"/>
      <w:lvlText w:val="•"/>
      <w:lvlJc w:val="left"/>
      <w:pPr>
        <w:tabs>
          <w:tab w:val="num" w:pos="4320"/>
        </w:tabs>
        <w:ind w:left="4320" w:hanging="360"/>
      </w:pPr>
      <w:rPr>
        <w:rFonts w:ascii="Arial" w:hAnsi="Arial" w:hint="default"/>
      </w:rPr>
    </w:lvl>
    <w:lvl w:ilvl="5" w:tplc="9A72B830" w:tentative="1">
      <w:start w:val="1"/>
      <w:numFmt w:val="bullet"/>
      <w:lvlText w:val="•"/>
      <w:lvlJc w:val="left"/>
      <w:pPr>
        <w:tabs>
          <w:tab w:val="num" w:pos="5040"/>
        </w:tabs>
        <w:ind w:left="5040" w:hanging="360"/>
      </w:pPr>
      <w:rPr>
        <w:rFonts w:ascii="Arial" w:hAnsi="Arial" w:hint="default"/>
      </w:rPr>
    </w:lvl>
    <w:lvl w:ilvl="6" w:tplc="A2ECE4A4" w:tentative="1">
      <w:start w:val="1"/>
      <w:numFmt w:val="bullet"/>
      <w:lvlText w:val="•"/>
      <w:lvlJc w:val="left"/>
      <w:pPr>
        <w:tabs>
          <w:tab w:val="num" w:pos="5760"/>
        </w:tabs>
        <w:ind w:left="5760" w:hanging="360"/>
      </w:pPr>
      <w:rPr>
        <w:rFonts w:ascii="Arial" w:hAnsi="Arial" w:hint="default"/>
      </w:rPr>
    </w:lvl>
    <w:lvl w:ilvl="7" w:tplc="E4EE183C" w:tentative="1">
      <w:start w:val="1"/>
      <w:numFmt w:val="bullet"/>
      <w:lvlText w:val="•"/>
      <w:lvlJc w:val="left"/>
      <w:pPr>
        <w:tabs>
          <w:tab w:val="num" w:pos="6480"/>
        </w:tabs>
        <w:ind w:left="6480" w:hanging="360"/>
      </w:pPr>
      <w:rPr>
        <w:rFonts w:ascii="Arial" w:hAnsi="Arial" w:hint="default"/>
      </w:rPr>
    </w:lvl>
    <w:lvl w:ilvl="8" w:tplc="0BFE89DE" w:tentative="1">
      <w:start w:val="1"/>
      <w:numFmt w:val="bullet"/>
      <w:lvlText w:val="•"/>
      <w:lvlJc w:val="left"/>
      <w:pPr>
        <w:tabs>
          <w:tab w:val="num" w:pos="7200"/>
        </w:tabs>
        <w:ind w:left="7200" w:hanging="360"/>
      </w:pPr>
      <w:rPr>
        <w:rFonts w:ascii="Arial" w:hAnsi="Arial" w:hint="default"/>
      </w:rPr>
    </w:lvl>
  </w:abstractNum>
  <w:abstractNum w:abstractNumId="2">
    <w:nsid w:val="39AA7BBC"/>
    <w:multiLevelType w:val="hybridMultilevel"/>
    <w:tmpl w:val="4B22D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EC6817"/>
    <w:multiLevelType w:val="hybridMultilevel"/>
    <w:tmpl w:val="0616C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F3E41FD"/>
    <w:multiLevelType w:val="hybridMultilevel"/>
    <w:tmpl w:val="97005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CA"/>
    <w:rsid w:val="0001018F"/>
    <w:rsid w:val="00010201"/>
    <w:rsid w:val="00017F2D"/>
    <w:rsid w:val="000369CF"/>
    <w:rsid w:val="00040662"/>
    <w:rsid w:val="00050BC4"/>
    <w:rsid w:val="000645BF"/>
    <w:rsid w:val="0008526A"/>
    <w:rsid w:val="00091ADC"/>
    <w:rsid w:val="00095278"/>
    <w:rsid w:val="000B5696"/>
    <w:rsid w:val="000C32B1"/>
    <w:rsid w:val="000D1A26"/>
    <w:rsid w:val="000E072C"/>
    <w:rsid w:val="000E0F65"/>
    <w:rsid w:val="000E21BF"/>
    <w:rsid w:val="0012300A"/>
    <w:rsid w:val="00130FAB"/>
    <w:rsid w:val="00133A75"/>
    <w:rsid w:val="00134810"/>
    <w:rsid w:val="001401DF"/>
    <w:rsid w:val="0016640F"/>
    <w:rsid w:val="001838CE"/>
    <w:rsid w:val="00192794"/>
    <w:rsid w:val="001A550D"/>
    <w:rsid w:val="001A6A4C"/>
    <w:rsid w:val="001B1545"/>
    <w:rsid w:val="001C27FC"/>
    <w:rsid w:val="001C5F38"/>
    <w:rsid w:val="001D34AE"/>
    <w:rsid w:val="001E4800"/>
    <w:rsid w:val="001F453F"/>
    <w:rsid w:val="00201C11"/>
    <w:rsid w:val="00247E41"/>
    <w:rsid w:val="00264F03"/>
    <w:rsid w:val="002720C1"/>
    <w:rsid w:val="00273F3C"/>
    <w:rsid w:val="0027602D"/>
    <w:rsid w:val="002A73CD"/>
    <w:rsid w:val="002C645E"/>
    <w:rsid w:val="002D2945"/>
    <w:rsid w:val="002D5AC7"/>
    <w:rsid w:val="002E7138"/>
    <w:rsid w:val="002F0B9F"/>
    <w:rsid w:val="002F278C"/>
    <w:rsid w:val="00327ADB"/>
    <w:rsid w:val="00333814"/>
    <w:rsid w:val="003350BB"/>
    <w:rsid w:val="003516CB"/>
    <w:rsid w:val="00361B5F"/>
    <w:rsid w:val="00363B2A"/>
    <w:rsid w:val="00375161"/>
    <w:rsid w:val="003B3710"/>
    <w:rsid w:val="003D5C6C"/>
    <w:rsid w:val="003D6B2D"/>
    <w:rsid w:val="0041153C"/>
    <w:rsid w:val="00417EF8"/>
    <w:rsid w:val="00421CB1"/>
    <w:rsid w:val="00435D5A"/>
    <w:rsid w:val="00471CDC"/>
    <w:rsid w:val="00472A1E"/>
    <w:rsid w:val="004963E8"/>
    <w:rsid w:val="004A199E"/>
    <w:rsid w:val="004B4982"/>
    <w:rsid w:val="004C073E"/>
    <w:rsid w:val="004C5601"/>
    <w:rsid w:val="004C6827"/>
    <w:rsid w:val="004E3D47"/>
    <w:rsid w:val="004E7139"/>
    <w:rsid w:val="004F52A2"/>
    <w:rsid w:val="004F5E83"/>
    <w:rsid w:val="004F727E"/>
    <w:rsid w:val="004F7720"/>
    <w:rsid w:val="005015F8"/>
    <w:rsid w:val="00501F03"/>
    <w:rsid w:val="00506383"/>
    <w:rsid w:val="00512A5C"/>
    <w:rsid w:val="00522174"/>
    <w:rsid w:val="005237AE"/>
    <w:rsid w:val="00531BCF"/>
    <w:rsid w:val="00540B15"/>
    <w:rsid w:val="005446DF"/>
    <w:rsid w:val="00563B3D"/>
    <w:rsid w:val="00580564"/>
    <w:rsid w:val="005B544A"/>
    <w:rsid w:val="005D0D4B"/>
    <w:rsid w:val="005D70D1"/>
    <w:rsid w:val="00603519"/>
    <w:rsid w:val="006149B6"/>
    <w:rsid w:val="00616B03"/>
    <w:rsid w:val="00633DE7"/>
    <w:rsid w:val="00634871"/>
    <w:rsid w:val="00635312"/>
    <w:rsid w:val="00643979"/>
    <w:rsid w:val="00662A52"/>
    <w:rsid w:val="00683643"/>
    <w:rsid w:val="00686169"/>
    <w:rsid w:val="006871F3"/>
    <w:rsid w:val="00696549"/>
    <w:rsid w:val="006B554C"/>
    <w:rsid w:val="006E020E"/>
    <w:rsid w:val="006E6D4B"/>
    <w:rsid w:val="006F0816"/>
    <w:rsid w:val="007054F6"/>
    <w:rsid w:val="00710D35"/>
    <w:rsid w:val="007129E8"/>
    <w:rsid w:val="0072385C"/>
    <w:rsid w:val="00726255"/>
    <w:rsid w:val="00750E77"/>
    <w:rsid w:val="00753965"/>
    <w:rsid w:val="00753C12"/>
    <w:rsid w:val="00760BC2"/>
    <w:rsid w:val="0076721E"/>
    <w:rsid w:val="007872B9"/>
    <w:rsid w:val="00795FD7"/>
    <w:rsid w:val="007A0386"/>
    <w:rsid w:val="007A2DF7"/>
    <w:rsid w:val="007B2691"/>
    <w:rsid w:val="007B68C9"/>
    <w:rsid w:val="007B705F"/>
    <w:rsid w:val="007C574E"/>
    <w:rsid w:val="007D2262"/>
    <w:rsid w:val="007D5095"/>
    <w:rsid w:val="007D78F7"/>
    <w:rsid w:val="007E59B0"/>
    <w:rsid w:val="00804DCA"/>
    <w:rsid w:val="00811126"/>
    <w:rsid w:val="00822B4E"/>
    <w:rsid w:val="00843B43"/>
    <w:rsid w:val="008543D5"/>
    <w:rsid w:val="0088278B"/>
    <w:rsid w:val="008832C1"/>
    <w:rsid w:val="008B0589"/>
    <w:rsid w:val="008E4B87"/>
    <w:rsid w:val="008F1BBF"/>
    <w:rsid w:val="0092259E"/>
    <w:rsid w:val="00931648"/>
    <w:rsid w:val="00933369"/>
    <w:rsid w:val="00937E05"/>
    <w:rsid w:val="009425BC"/>
    <w:rsid w:val="00943553"/>
    <w:rsid w:val="009517D8"/>
    <w:rsid w:val="009620A6"/>
    <w:rsid w:val="00971E33"/>
    <w:rsid w:val="009903B1"/>
    <w:rsid w:val="0099074F"/>
    <w:rsid w:val="00991A61"/>
    <w:rsid w:val="009934F2"/>
    <w:rsid w:val="0099368C"/>
    <w:rsid w:val="009B0C8C"/>
    <w:rsid w:val="009C61F4"/>
    <w:rsid w:val="009E1B72"/>
    <w:rsid w:val="009F609D"/>
    <w:rsid w:val="00A05A1F"/>
    <w:rsid w:val="00A067F7"/>
    <w:rsid w:val="00A071CE"/>
    <w:rsid w:val="00A313DE"/>
    <w:rsid w:val="00A36ADC"/>
    <w:rsid w:val="00A450FD"/>
    <w:rsid w:val="00A53634"/>
    <w:rsid w:val="00A5644B"/>
    <w:rsid w:val="00A56FD8"/>
    <w:rsid w:val="00A571F6"/>
    <w:rsid w:val="00A63C29"/>
    <w:rsid w:val="00A662C4"/>
    <w:rsid w:val="00A67EEC"/>
    <w:rsid w:val="00A81C29"/>
    <w:rsid w:val="00AA53AE"/>
    <w:rsid w:val="00AA7E71"/>
    <w:rsid w:val="00AE06CD"/>
    <w:rsid w:val="00AE25F1"/>
    <w:rsid w:val="00AF706F"/>
    <w:rsid w:val="00AF746D"/>
    <w:rsid w:val="00B04C6F"/>
    <w:rsid w:val="00B21A7F"/>
    <w:rsid w:val="00B2381A"/>
    <w:rsid w:val="00B25210"/>
    <w:rsid w:val="00B26E01"/>
    <w:rsid w:val="00B37F61"/>
    <w:rsid w:val="00B403D6"/>
    <w:rsid w:val="00B40CB5"/>
    <w:rsid w:val="00B51937"/>
    <w:rsid w:val="00B568CB"/>
    <w:rsid w:val="00B737EE"/>
    <w:rsid w:val="00BC37F4"/>
    <w:rsid w:val="00BD1C2B"/>
    <w:rsid w:val="00C00458"/>
    <w:rsid w:val="00C23FA5"/>
    <w:rsid w:val="00C2493C"/>
    <w:rsid w:val="00C31E91"/>
    <w:rsid w:val="00C3573A"/>
    <w:rsid w:val="00C60F55"/>
    <w:rsid w:val="00C65FA6"/>
    <w:rsid w:val="00C7468B"/>
    <w:rsid w:val="00C9013B"/>
    <w:rsid w:val="00CA06A6"/>
    <w:rsid w:val="00CB0DB2"/>
    <w:rsid w:val="00CC2DC9"/>
    <w:rsid w:val="00CC5D81"/>
    <w:rsid w:val="00CE1687"/>
    <w:rsid w:val="00CE681B"/>
    <w:rsid w:val="00CF1C7B"/>
    <w:rsid w:val="00D0552F"/>
    <w:rsid w:val="00D21C1A"/>
    <w:rsid w:val="00D2592C"/>
    <w:rsid w:val="00D307B3"/>
    <w:rsid w:val="00D33533"/>
    <w:rsid w:val="00D547DA"/>
    <w:rsid w:val="00D54975"/>
    <w:rsid w:val="00D57830"/>
    <w:rsid w:val="00D71E07"/>
    <w:rsid w:val="00D90D28"/>
    <w:rsid w:val="00DA30A8"/>
    <w:rsid w:val="00DD5F01"/>
    <w:rsid w:val="00DD6C3C"/>
    <w:rsid w:val="00DE24BD"/>
    <w:rsid w:val="00DF0102"/>
    <w:rsid w:val="00DF5794"/>
    <w:rsid w:val="00E07102"/>
    <w:rsid w:val="00E165E1"/>
    <w:rsid w:val="00E245A1"/>
    <w:rsid w:val="00E541F4"/>
    <w:rsid w:val="00E725F9"/>
    <w:rsid w:val="00E81B06"/>
    <w:rsid w:val="00EA2097"/>
    <w:rsid w:val="00EC66E3"/>
    <w:rsid w:val="00EE2C28"/>
    <w:rsid w:val="00EF28B1"/>
    <w:rsid w:val="00F00237"/>
    <w:rsid w:val="00F07E46"/>
    <w:rsid w:val="00F30DC8"/>
    <w:rsid w:val="00F4053F"/>
    <w:rsid w:val="00F742AA"/>
    <w:rsid w:val="00F76BE7"/>
    <w:rsid w:val="00F80A48"/>
    <w:rsid w:val="00FA503C"/>
    <w:rsid w:val="00FA7414"/>
    <w:rsid w:val="00FB2EBE"/>
    <w:rsid w:val="00FC1DD1"/>
    <w:rsid w:val="00FC20D8"/>
    <w:rsid w:val="00FC5F35"/>
    <w:rsid w:val="00FD3DDD"/>
    <w:rsid w:val="00FE0100"/>
    <w:rsid w:val="00FE10CB"/>
    <w:rsid w:val="00FE1592"/>
    <w:rsid w:val="00FE6F4C"/>
    <w:rsid w:val="00FF73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DCA"/>
    <w:rPr>
      <w:color w:val="0000FF"/>
      <w:u w:val="single"/>
    </w:rPr>
  </w:style>
  <w:style w:type="paragraph" w:styleId="BalloonText">
    <w:name w:val="Balloon Text"/>
    <w:basedOn w:val="Normal"/>
    <w:link w:val="BalloonTextChar"/>
    <w:uiPriority w:val="99"/>
    <w:semiHidden/>
    <w:unhideWhenUsed/>
    <w:rsid w:val="00804D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CA"/>
    <w:rPr>
      <w:rFonts w:ascii="Tahoma" w:hAnsi="Tahoma" w:cs="Tahoma"/>
      <w:sz w:val="16"/>
      <w:szCs w:val="16"/>
    </w:rPr>
  </w:style>
  <w:style w:type="paragraph" w:styleId="ListParagraph">
    <w:name w:val="List Paragraph"/>
    <w:basedOn w:val="Normal"/>
    <w:uiPriority w:val="34"/>
    <w:qFormat/>
    <w:rsid w:val="00804DCA"/>
    <w:pPr>
      <w:ind w:left="720"/>
      <w:contextualSpacing/>
    </w:pPr>
  </w:style>
  <w:style w:type="character" w:customStyle="1" w:styleId="apple-converted-space">
    <w:name w:val="apple-converted-space"/>
    <w:basedOn w:val="DefaultParagraphFont"/>
    <w:rsid w:val="007E59B0"/>
  </w:style>
  <w:style w:type="paragraph" w:styleId="Date">
    <w:name w:val="Date"/>
    <w:basedOn w:val="Normal"/>
    <w:next w:val="Normal"/>
    <w:link w:val="DateChar"/>
    <w:uiPriority w:val="99"/>
    <w:semiHidden/>
    <w:unhideWhenUsed/>
    <w:rsid w:val="007C574E"/>
  </w:style>
  <w:style w:type="character" w:customStyle="1" w:styleId="DateChar">
    <w:name w:val="Date Char"/>
    <w:basedOn w:val="DefaultParagraphFont"/>
    <w:link w:val="Date"/>
    <w:uiPriority w:val="99"/>
    <w:semiHidden/>
    <w:rsid w:val="007C574E"/>
  </w:style>
  <w:style w:type="character" w:styleId="FollowedHyperlink">
    <w:name w:val="FollowedHyperlink"/>
    <w:basedOn w:val="DefaultParagraphFont"/>
    <w:uiPriority w:val="99"/>
    <w:semiHidden/>
    <w:unhideWhenUsed/>
    <w:rsid w:val="00710D35"/>
    <w:rPr>
      <w:color w:val="800080" w:themeColor="followedHyperlink"/>
      <w:u w:val="single"/>
    </w:rPr>
  </w:style>
  <w:style w:type="paragraph" w:styleId="Header">
    <w:name w:val="header"/>
    <w:basedOn w:val="Normal"/>
    <w:link w:val="HeaderChar"/>
    <w:uiPriority w:val="99"/>
    <w:unhideWhenUsed/>
    <w:rsid w:val="00CF1C7B"/>
    <w:pPr>
      <w:tabs>
        <w:tab w:val="center" w:pos="4680"/>
        <w:tab w:val="right" w:pos="9360"/>
      </w:tabs>
      <w:spacing w:line="240" w:lineRule="auto"/>
    </w:pPr>
  </w:style>
  <w:style w:type="character" w:customStyle="1" w:styleId="HeaderChar">
    <w:name w:val="Header Char"/>
    <w:basedOn w:val="DefaultParagraphFont"/>
    <w:link w:val="Header"/>
    <w:uiPriority w:val="99"/>
    <w:rsid w:val="00CF1C7B"/>
  </w:style>
  <w:style w:type="paragraph" w:styleId="Footer">
    <w:name w:val="footer"/>
    <w:basedOn w:val="Normal"/>
    <w:link w:val="FooterChar"/>
    <w:uiPriority w:val="99"/>
    <w:unhideWhenUsed/>
    <w:rsid w:val="00CF1C7B"/>
    <w:pPr>
      <w:tabs>
        <w:tab w:val="center" w:pos="4680"/>
        <w:tab w:val="right" w:pos="9360"/>
      </w:tabs>
      <w:spacing w:line="240" w:lineRule="auto"/>
    </w:pPr>
  </w:style>
  <w:style w:type="character" w:customStyle="1" w:styleId="FooterChar">
    <w:name w:val="Footer Char"/>
    <w:basedOn w:val="DefaultParagraphFont"/>
    <w:link w:val="Footer"/>
    <w:uiPriority w:val="99"/>
    <w:rsid w:val="00CF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DCA"/>
    <w:rPr>
      <w:color w:val="0000FF"/>
      <w:u w:val="single"/>
    </w:rPr>
  </w:style>
  <w:style w:type="paragraph" w:styleId="BalloonText">
    <w:name w:val="Balloon Text"/>
    <w:basedOn w:val="Normal"/>
    <w:link w:val="BalloonTextChar"/>
    <w:uiPriority w:val="99"/>
    <w:semiHidden/>
    <w:unhideWhenUsed/>
    <w:rsid w:val="00804D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CA"/>
    <w:rPr>
      <w:rFonts w:ascii="Tahoma" w:hAnsi="Tahoma" w:cs="Tahoma"/>
      <w:sz w:val="16"/>
      <w:szCs w:val="16"/>
    </w:rPr>
  </w:style>
  <w:style w:type="paragraph" w:styleId="ListParagraph">
    <w:name w:val="List Paragraph"/>
    <w:basedOn w:val="Normal"/>
    <w:uiPriority w:val="34"/>
    <w:qFormat/>
    <w:rsid w:val="00804DCA"/>
    <w:pPr>
      <w:ind w:left="720"/>
      <w:contextualSpacing/>
    </w:pPr>
  </w:style>
  <w:style w:type="character" w:customStyle="1" w:styleId="apple-converted-space">
    <w:name w:val="apple-converted-space"/>
    <w:basedOn w:val="DefaultParagraphFont"/>
    <w:rsid w:val="007E59B0"/>
  </w:style>
  <w:style w:type="paragraph" w:styleId="Date">
    <w:name w:val="Date"/>
    <w:basedOn w:val="Normal"/>
    <w:next w:val="Normal"/>
    <w:link w:val="DateChar"/>
    <w:uiPriority w:val="99"/>
    <w:semiHidden/>
    <w:unhideWhenUsed/>
    <w:rsid w:val="007C574E"/>
  </w:style>
  <w:style w:type="character" w:customStyle="1" w:styleId="DateChar">
    <w:name w:val="Date Char"/>
    <w:basedOn w:val="DefaultParagraphFont"/>
    <w:link w:val="Date"/>
    <w:uiPriority w:val="99"/>
    <w:semiHidden/>
    <w:rsid w:val="007C574E"/>
  </w:style>
  <w:style w:type="character" w:styleId="FollowedHyperlink">
    <w:name w:val="FollowedHyperlink"/>
    <w:basedOn w:val="DefaultParagraphFont"/>
    <w:uiPriority w:val="99"/>
    <w:semiHidden/>
    <w:unhideWhenUsed/>
    <w:rsid w:val="00710D35"/>
    <w:rPr>
      <w:color w:val="800080" w:themeColor="followedHyperlink"/>
      <w:u w:val="single"/>
    </w:rPr>
  </w:style>
  <w:style w:type="paragraph" w:styleId="Header">
    <w:name w:val="header"/>
    <w:basedOn w:val="Normal"/>
    <w:link w:val="HeaderChar"/>
    <w:uiPriority w:val="99"/>
    <w:unhideWhenUsed/>
    <w:rsid w:val="00CF1C7B"/>
    <w:pPr>
      <w:tabs>
        <w:tab w:val="center" w:pos="4680"/>
        <w:tab w:val="right" w:pos="9360"/>
      </w:tabs>
      <w:spacing w:line="240" w:lineRule="auto"/>
    </w:pPr>
  </w:style>
  <w:style w:type="character" w:customStyle="1" w:styleId="HeaderChar">
    <w:name w:val="Header Char"/>
    <w:basedOn w:val="DefaultParagraphFont"/>
    <w:link w:val="Header"/>
    <w:uiPriority w:val="99"/>
    <w:rsid w:val="00CF1C7B"/>
  </w:style>
  <w:style w:type="paragraph" w:styleId="Footer">
    <w:name w:val="footer"/>
    <w:basedOn w:val="Normal"/>
    <w:link w:val="FooterChar"/>
    <w:uiPriority w:val="99"/>
    <w:unhideWhenUsed/>
    <w:rsid w:val="00CF1C7B"/>
    <w:pPr>
      <w:tabs>
        <w:tab w:val="center" w:pos="4680"/>
        <w:tab w:val="right" w:pos="9360"/>
      </w:tabs>
      <w:spacing w:line="240" w:lineRule="auto"/>
    </w:pPr>
  </w:style>
  <w:style w:type="character" w:customStyle="1" w:styleId="FooterChar">
    <w:name w:val="Footer Char"/>
    <w:basedOn w:val="DefaultParagraphFont"/>
    <w:link w:val="Footer"/>
    <w:uiPriority w:val="99"/>
    <w:rsid w:val="00CF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2441">
      <w:bodyDiv w:val="1"/>
      <w:marLeft w:val="0"/>
      <w:marRight w:val="0"/>
      <w:marTop w:val="0"/>
      <w:marBottom w:val="0"/>
      <w:divBdr>
        <w:top w:val="none" w:sz="0" w:space="0" w:color="auto"/>
        <w:left w:val="none" w:sz="0" w:space="0" w:color="auto"/>
        <w:bottom w:val="none" w:sz="0" w:space="0" w:color="auto"/>
        <w:right w:val="none" w:sz="0" w:space="0" w:color="auto"/>
      </w:divBdr>
    </w:div>
    <w:div w:id="1325279101">
      <w:bodyDiv w:val="1"/>
      <w:marLeft w:val="0"/>
      <w:marRight w:val="0"/>
      <w:marTop w:val="0"/>
      <w:marBottom w:val="0"/>
      <w:divBdr>
        <w:top w:val="none" w:sz="0" w:space="0" w:color="auto"/>
        <w:left w:val="none" w:sz="0" w:space="0" w:color="auto"/>
        <w:bottom w:val="none" w:sz="0" w:space="0" w:color="auto"/>
        <w:right w:val="none" w:sz="0" w:space="0" w:color="auto"/>
      </w:divBdr>
      <w:divsChild>
        <w:div w:id="143545434">
          <w:marLeft w:val="547"/>
          <w:marRight w:val="0"/>
          <w:marTop w:val="154"/>
          <w:marBottom w:val="0"/>
          <w:divBdr>
            <w:top w:val="none" w:sz="0" w:space="0" w:color="auto"/>
            <w:left w:val="none" w:sz="0" w:space="0" w:color="auto"/>
            <w:bottom w:val="none" w:sz="0" w:space="0" w:color="auto"/>
            <w:right w:val="none" w:sz="0" w:space="0" w:color="auto"/>
          </w:divBdr>
        </w:div>
        <w:div w:id="1110852832">
          <w:marLeft w:val="547"/>
          <w:marRight w:val="0"/>
          <w:marTop w:val="154"/>
          <w:marBottom w:val="0"/>
          <w:divBdr>
            <w:top w:val="none" w:sz="0" w:space="0" w:color="auto"/>
            <w:left w:val="none" w:sz="0" w:space="0" w:color="auto"/>
            <w:bottom w:val="none" w:sz="0" w:space="0" w:color="auto"/>
            <w:right w:val="none" w:sz="0" w:space="0" w:color="auto"/>
          </w:divBdr>
        </w:div>
        <w:div w:id="370960758">
          <w:marLeft w:val="547"/>
          <w:marRight w:val="0"/>
          <w:marTop w:val="154"/>
          <w:marBottom w:val="0"/>
          <w:divBdr>
            <w:top w:val="none" w:sz="0" w:space="0" w:color="auto"/>
            <w:left w:val="none" w:sz="0" w:space="0" w:color="auto"/>
            <w:bottom w:val="none" w:sz="0" w:space="0" w:color="auto"/>
            <w:right w:val="none" w:sz="0" w:space="0" w:color="auto"/>
          </w:divBdr>
        </w:div>
        <w:div w:id="361899639">
          <w:marLeft w:val="547"/>
          <w:marRight w:val="0"/>
          <w:marTop w:val="154"/>
          <w:marBottom w:val="0"/>
          <w:divBdr>
            <w:top w:val="none" w:sz="0" w:space="0" w:color="auto"/>
            <w:left w:val="none" w:sz="0" w:space="0" w:color="auto"/>
            <w:bottom w:val="none" w:sz="0" w:space="0" w:color="auto"/>
            <w:right w:val="none" w:sz="0" w:space="0" w:color="auto"/>
          </w:divBdr>
        </w:div>
        <w:div w:id="1658538493">
          <w:marLeft w:val="547"/>
          <w:marRight w:val="0"/>
          <w:marTop w:val="154"/>
          <w:marBottom w:val="0"/>
          <w:divBdr>
            <w:top w:val="none" w:sz="0" w:space="0" w:color="auto"/>
            <w:left w:val="none" w:sz="0" w:space="0" w:color="auto"/>
            <w:bottom w:val="none" w:sz="0" w:space="0" w:color="auto"/>
            <w:right w:val="none" w:sz="0" w:space="0" w:color="auto"/>
          </w:divBdr>
        </w:div>
        <w:div w:id="10841078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eb.com/nebecomm/default.asp" TargetMode="External"/><Relationship Id="rId2" Type="http://schemas.openxmlformats.org/officeDocument/2006/relationships/styles" Target="styles.xml"/><Relationship Id="rId16" Type="http://schemas.openxmlformats.org/officeDocument/2006/relationships/hyperlink" Target="http://gcat.davidson.edu/mediawik%20%20%20i1.15.0/images/5/5b/C_dog_concep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artsregistry.org/Image:SloViolacein-pot.jpg"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2009.igem.org/Team:Cambridge/Project/VI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9</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Lab User</cp:lastModifiedBy>
  <cp:revision>218</cp:revision>
  <cp:lastPrinted>2012-05-13T03:27:00Z</cp:lastPrinted>
  <dcterms:created xsi:type="dcterms:W3CDTF">2012-05-12T19:54:00Z</dcterms:created>
  <dcterms:modified xsi:type="dcterms:W3CDTF">2012-05-13T03:56:00Z</dcterms:modified>
</cp:coreProperties>
</file>