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95" w:rsidRPr="00551795" w:rsidRDefault="00551795" w:rsidP="00551795">
      <w:pPr>
        <w:spacing w:line="276" w:lineRule="auto"/>
        <w:jc w:val="center"/>
        <w:rPr>
          <w:b/>
        </w:rPr>
      </w:pPr>
      <w:r w:rsidRPr="00551795">
        <w:rPr>
          <w:b/>
        </w:rPr>
        <w:t>Bioconversion of Glycerol for Bioethanol Production Using Isolated Escherichia Coli SS1</w:t>
      </w:r>
    </w:p>
    <w:p w:rsidR="00551795" w:rsidRDefault="00551795" w:rsidP="00551795">
      <w:pPr>
        <w:spacing w:line="276" w:lineRule="auto"/>
        <w:jc w:val="center"/>
      </w:pPr>
      <w:r w:rsidRPr="00551795">
        <w:t>http://www.scielo.br/pdf/bjm/v43n2/11.pdf</w:t>
      </w:r>
    </w:p>
    <w:p w:rsidR="00551795" w:rsidRDefault="00551795" w:rsidP="00551795">
      <w:pPr>
        <w:spacing w:line="276" w:lineRule="auto"/>
      </w:pPr>
    </w:p>
    <w:p w:rsidR="00551795" w:rsidRDefault="00551795" w:rsidP="00551795">
      <w:pPr>
        <w:spacing w:line="276" w:lineRule="auto"/>
      </w:pPr>
    </w:p>
    <w:p w:rsidR="00411F4D" w:rsidRDefault="000E21CB" w:rsidP="00551795">
      <w:pPr>
        <w:spacing w:line="276" w:lineRule="auto"/>
      </w:pPr>
      <w:r>
        <w:t xml:space="preserve">What: Production of bioethanol from the fermentation of glycerol. </w:t>
      </w:r>
    </w:p>
    <w:p w:rsidR="000E21CB" w:rsidRDefault="000E21CB" w:rsidP="00551795">
      <w:pPr>
        <w:spacing w:line="276" w:lineRule="auto"/>
      </w:pPr>
    </w:p>
    <w:p w:rsidR="000E21CB" w:rsidRDefault="000E21CB" w:rsidP="00551795">
      <w:pPr>
        <w:pStyle w:val="ListParagraph"/>
        <w:numPr>
          <w:ilvl w:val="0"/>
          <w:numId w:val="1"/>
        </w:numPr>
        <w:spacing w:line="276" w:lineRule="auto"/>
      </w:pPr>
      <w:r>
        <w:t xml:space="preserve">“Species of Escherichia coli were found to be able to ferment glycerol under appropriate conditions, i.e., acidic pH, and with appropriate medium composition to produce bioethanol with minimum hydrogen accumulation.” </w:t>
      </w:r>
    </w:p>
    <w:p w:rsidR="000E21CB" w:rsidRDefault="00551795" w:rsidP="00551795">
      <w:pPr>
        <w:pStyle w:val="ListParagraph"/>
        <w:numPr>
          <w:ilvl w:val="0"/>
          <w:numId w:val="1"/>
        </w:numPr>
        <w:spacing w:line="276" w:lineRule="auto"/>
      </w:pPr>
      <w:r>
        <w:t xml:space="preserve">Highest ethanol yield 1.0 </w:t>
      </w:r>
      <w:proofErr w:type="spellStart"/>
      <w:r>
        <w:t>mol</w:t>
      </w:r>
      <w:proofErr w:type="spellEnd"/>
      <w:r>
        <w:t xml:space="preserve"> ethanol: 1.0 </w:t>
      </w:r>
      <w:proofErr w:type="spellStart"/>
      <w:r>
        <w:t>mol</w:t>
      </w:r>
      <w:proofErr w:type="spellEnd"/>
      <w:r>
        <w:t xml:space="preserve"> glycerol</w:t>
      </w:r>
    </w:p>
    <w:p w:rsidR="00551795" w:rsidRDefault="00551795" w:rsidP="00551795">
      <w:pPr>
        <w:pStyle w:val="ListParagraph"/>
        <w:numPr>
          <w:ilvl w:val="0"/>
          <w:numId w:val="1"/>
        </w:numPr>
        <w:spacing w:line="276" w:lineRule="auto"/>
      </w:pPr>
      <w:r>
        <w:t xml:space="preserve">Ferment glycerol </w:t>
      </w:r>
      <w:r>
        <w:sym w:font="Wingdings" w:char="F0E0"/>
      </w:r>
      <w:r>
        <w:t xml:space="preserve"> 1,3 – </w:t>
      </w:r>
      <w:proofErr w:type="spellStart"/>
      <w:r>
        <w:t>propanediol</w:t>
      </w:r>
      <w:proofErr w:type="spellEnd"/>
      <w:r>
        <w:t xml:space="preserve"> </w:t>
      </w:r>
    </w:p>
    <w:p w:rsidR="00551795" w:rsidRDefault="00551795" w:rsidP="00551795">
      <w:pPr>
        <w:pStyle w:val="ListParagraph"/>
        <w:numPr>
          <w:ilvl w:val="0"/>
          <w:numId w:val="1"/>
        </w:numPr>
        <w:spacing w:line="276" w:lineRule="auto"/>
      </w:pPr>
      <w:r>
        <w:t xml:space="preserve">E. </w:t>
      </w:r>
      <w:proofErr w:type="gramStart"/>
      <w:r>
        <w:t>coli</w:t>
      </w:r>
      <w:proofErr w:type="gramEnd"/>
      <w:r>
        <w:t xml:space="preserve"> can ferment glycerol in acidic pH and an appropriate medium</w:t>
      </w:r>
    </w:p>
    <w:p w:rsidR="00551795" w:rsidRDefault="00551795" w:rsidP="00551795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Klebsiella</w:t>
      </w:r>
      <w:proofErr w:type="spellEnd"/>
      <w:r>
        <w:t xml:space="preserve"> </w:t>
      </w:r>
      <w:proofErr w:type="spellStart"/>
      <w:r>
        <w:t>planticola</w:t>
      </w:r>
      <w:proofErr w:type="spellEnd"/>
      <w:r>
        <w:t xml:space="preserve"> from rumen red deer naturally produce ethanol from glycerol fermentation </w:t>
      </w:r>
    </w:p>
    <w:p w:rsidR="00551795" w:rsidRDefault="00551795" w:rsidP="00551795">
      <w:pPr>
        <w:spacing w:line="276" w:lineRule="auto"/>
      </w:pPr>
    </w:p>
    <w:p w:rsidR="00551795" w:rsidRPr="00551795" w:rsidRDefault="00551795" w:rsidP="00551795">
      <w:pPr>
        <w:spacing w:line="276" w:lineRule="auto"/>
        <w:jc w:val="center"/>
        <w:rPr>
          <w:b/>
        </w:rPr>
      </w:pPr>
      <w:r w:rsidRPr="00551795">
        <w:rPr>
          <w:b/>
        </w:rPr>
        <w:t>Anaerobic Fermentation of glycerol by Escherichia coli: a new platform for metabolic engineering</w:t>
      </w:r>
    </w:p>
    <w:p w:rsidR="00551795" w:rsidRDefault="00551795" w:rsidP="00551795">
      <w:pPr>
        <w:spacing w:line="276" w:lineRule="auto"/>
        <w:jc w:val="center"/>
      </w:pPr>
      <w:hyperlink r:id="rId6" w:history="1">
        <w:r w:rsidRPr="00CB69E1">
          <w:rPr>
            <w:rStyle w:val="Hyperlink"/>
          </w:rPr>
          <w:t>ht</w:t>
        </w:r>
        <w:r w:rsidRPr="00CB69E1">
          <w:rPr>
            <w:rStyle w:val="Hyperlink"/>
          </w:rPr>
          <w:t>t</w:t>
        </w:r>
        <w:r w:rsidRPr="00CB69E1">
          <w:rPr>
            <w:rStyle w:val="Hyperlink"/>
          </w:rPr>
          <w:t>p://www.ncbi.nlm.nih.gov/pubmed/16715533</w:t>
        </w:r>
      </w:hyperlink>
    </w:p>
    <w:p w:rsidR="00551795" w:rsidRDefault="00551795" w:rsidP="00551795">
      <w:pPr>
        <w:spacing w:line="276" w:lineRule="auto"/>
      </w:pPr>
    </w:p>
    <w:p w:rsidR="00551795" w:rsidRDefault="00551795" w:rsidP="00551795">
      <w:pPr>
        <w:pStyle w:val="ListParagraph"/>
        <w:numPr>
          <w:ilvl w:val="0"/>
          <w:numId w:val="2"/>
        </w:numPr>
        <w:spacing w:line="276" w:lineRule="auto"/>
      </w:pPr>
      <w:r>
        <w:t xml:space="preserve">Glycerol can be converted intro </w:t>
      </w:r>
      <w:proofErr w:type="spellStart"/>
      <w:r>
        <w:t>dihydroxyacetone</w:t>
      </w:r>
      <w:proofErr w:type="spellEnd"/>
      <w:r>
        <w:t xml:space="preserve"> (DHA) by </w:t>
      </w:r>
      <w:r w:rsidRPr="00551795">
        <w:rPr>
          <w:b/>
        </w:rPr>
        <w:t>glycerol dehydrogenase</w:t>
      </w:r>
      <w:r>
        <w:rPr>
          <w:b/>
        </w:rPr>
        <w:t xml:space="preserve"> (</w:t>
      </w:r>
      <w:proofErr w:type="spellStart"/>
      <w:r>
        <w:rPr>
          <w:b/>
        </w:rPr>
        <w:t>GldA</w:t>
      </w:r>
      <w:proofErr w:type="spellEnd"/>
      <w:r>
        <w:rPr>
          <w:b/>
        </w:rPr>
        <w:t>) (</w:t>
      </w:r>
      <w:r>
        <w:t xml:space="preserve">1104 </w:t>
      </w:r>
      <w:proofErr w:type="spellStart"/>
      <w:r>
        <w:t>bp</w:t>
      </w:r>
      <w:proofErr w:type="spellEnd"/>
      <w:r>
        <w:t>)</w:t>
      </w:r>
    </w:p>
    <w:p w:rsidR="00551795" w:rsidRPr="00551795" w:rsidRDefault="00551795" w:rsidP="00551795">
      <w:pPr>
        <w:pStyle w:val="ListParagraph"/>
        <w:numPr>
          <w:ilvl w:val="0"/>
          <w:numId w:val="2"/>
        </w:numPr>
        <w:spacing w:line="276" w:lineRule="auto"/>
      </w:pPr>
      <w:r>
        <w:t xml:space="preserve">Resulting DHA can be phosphorylated by </w:t>
      </w:r>
      <w:r w:rsidRPr="00551795">
        <w:rPr>
          <w:b/>
        </w:rPr>
        <w:t>DHA kinase</w:t>
      </w:r>
    </w:p>
    <w:p w:rsidR="00551795" w:rsidRDefault="00551795" w:rsidP="00551795">
      <w:pPr>
        <w:pStyle w:val="ListParagraph"/>
        <w:numPr>
          <w:ilvl w:val="0"/>
          <w:numId w:val="2"/>
        </w:numPr>
        <w:spacing w:line="276" w:lineRule="auto"/>
      </w:pPr>
      <w:r>
        <w:t xml:space="preserve">Conversion of </w:t>
      </w:r>
      <w:proofErr w:type="spellStart"/>
      <w:r>
        <w:t>formate</w:t>
      </w:r>
      <w:proofErr w:type="spellEnd"/>
      <w:r>
        <w:t xml:space="preserve"> into CO</w:t>
      </w:r>
      <w:r>
        <w:rPr>
          <w:vertAlign w:val="subscript"/>
        </w:rPr>
        <w:t xml:space="preserve">2 </w:t>
      </w:r>
      <w:r>
        <w:t xml:space="preserve">by </w:t>
      </w:r>
      <w:proofErr w:type="spellStart"/>
      <w:r>
        <w:t>formate</w:t>
      </w:r>
      <w:proofErr w:type="spellEnd"/>
      <w:r>
        <w:t xml:space="preserve"> hydrogen </w:t>
      </w:r>
      <w:proofErr w:type="spellStart"/>
      <w:r>
        <w:t>lyase</w:t>
      </w:r>
      <w:proofErr w:type="spellEnd"/>
      <w:r>
        <w:t xml:space="preserve"> (FHL) is required for glycerol fermentation at acidic </w:t>
      </w:r>
      <w:proofErr w:type="spellStart"/>
      <w:r>
        <w:t>pH.</w:t>
      </w:r>
      <w:proofErr w:type="spellEnd"/>
      <w:r>
        <w:t xml:space="preserve"> </w:t>
      </w:r>
    </w:p>
    <w:p w:rsidR="00551795" w:rsidRDefault="00551795" w:rsidP="00551795"/>
    <w:p w:rsidR="00551795" w:rsidRDefault="00551795" w:rsidP="00551795"/>
    <w:p w:rsidR="00551795" w:rsidRDefault="00551795" w:rsidP="00551795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551795" w:rsidSect="00723ED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51795" w:rsidRDefault="00551795" w:rsidP="0055179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56C91C14" wp14:editId="7C471CA1">
            <wp:extent cx="2844800" cy="2421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95" w:rsidRDefault="00551795" w:rsidP="0055179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1A1718"/>
          <w:sz w:val="20"/>
          <w:szCs w:val="22"/>
        </w:rPr>
      </w:pPr>
      <w:bookmarkStart w:id="0" w:name="_GoBack"/>
      <w:bookmarkEnd w:id="0"/>
    </w:p>
    <w:p w:rsidR="00551795" w:rsidRPr="00551795" w:rsidRDefault="00551795" w:rsidP="0055179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sz w:val="18"/>
          <w:szCs w:val="18"/>
        </w:rPr>
      </w:pPr>
      <w:r w:rsidRPr="00551795">
        <w:rPr>
          <w:rFonts w:ascii="Times" w:hAnsi="Times" w:cs="Times"/>
          <w:color w:val="1A1718"/>
          <w:sz w:val="18"/>
          <w:szCs w:val="18"/>
        </w:rPr>
        <w:lastRenderedPageBreak/>
        <w:t xml:space="preserve">Figure 3. </w:t>
      </w:r>
      <w:proofErr w:type="gramStart"/>
      <w:r w:rsidRPr="00551795">
        <w:rPr>
          <w:rFonts w:ascii="Times" w:hAnsi="Times" w:cs="Times"/>
          <w:color w:val="1A1718"/>
          <w:sz w:val="18"/>
          <w:szCs w:val="18"/>
        </w:rPr>
        <w:t>Schematic representation of the anaerobic fermentation of glucose and glycerol in E. coli.</w:t>
      </w:r>
      <w:proofErr w:type="gramEnd"/>
      <w:r w:rsidRPr="00551795">
        <w:rPr>
          <w:rFonts w:ascii="Times" w:hAnsi="Times" w:cs="Times"/>
          <w:color w:val="1A1718"/>
          <w:sz w:val="18"/>
          <w:szCs w:val="18"/>
        </w:rPr>
        <w:t xml:space="preserve"> Converting glycerol into </w:t>
      </w:r>
      <w:proofErr w:type="spellStart"/>
      <w:r w:rsidRPr="00551795">
        <w:rPr>
          <w:rFonts w:ascii="Times" w:hAnsi="Times" w:cs="Times"/>
          <w:color w:val="1A1718"/>
          <w:sz w:val="18"/>
          <w:szCs w:val="18"/>
        </w:rPr>
        <w:t>phosphoenolpyr</w:t>
      </w:r>
      <w:proofErr w:type="spellEnd"/>
      <w:r w:rsidRPr="00551795">
        <w:rPr>
          <w:rFonts w:ascii="Times" w:hAnsi="Times" w:cs="Times"/>
          <w:color w:val="1A1718"/>
          <w:sz w:val="18"/>
          <w:szCs w:val="18"/>
        </w:rPr>
        <w:t xml:space="preserve">- </w:t>
      </w:r>
      <w:proofErr w:type="spellStart"/>
      <w:r w:rsidRPr="00551795">
        <w:rPr>
          <w:rFonts w:ascii="Times" w:hAnsi="Times" w:cs="Times"/>
          <w:color w:val="1A1718"/>
          <w:sz w:val="18"/>
          <w:szCs w:val="18"/>
        </w:rPr>
        <w:t>uvate</w:t>
      </w:r>
      <w:proofErr w:type="spellEnd"/>
      <w:r w:rsidRPr="00551795">
        <w:rPr>
          <w:rFonts w:ascii="Times" w:hAnsi="Times" w:cs="Times"/>
          <w:color w:val="1A1718"/>
          <w:sz w:val="18"/>
          <w:szCs w:val="18"/>
        </w:rPr>
        <w:t xml:space="preserve"> or pyruvate results in the generation of twice the amount of redox equivalents generated during the conversion of glucose. Note that conversion of glycerol into ethanol or </w:t>
      </w:r>
      <w:proofErr w:type="gramStart"/>
      <w:r w:rsidRPr="00551795">
        <w:rPr>
          <w:rFonts w:ascii="Times" w:hAnsi="Times" w:cs="Times"/>
          <w:color w:val="1A1718"/>
          <w:sz w:val="18"/>
          <w:szCs w:val="18"/>
        </w:rPr>
        <w:t>succinate are</w:t>
      </w:r>
      <w:proofErr w:type="gramEnd"/>
      <w:r w:rsidRPr="00551795">
        <w:rPr>
          <w:rFonts w:ascii="Times" w:hAnsi="Times" w:cs="Times"/>
          <w:color w:val="1A1718"/>
          <w:sz w:val="18"/>
          <w:szCs w:val="18"/>
        </w:rPr>
        <w:t xml:space="preserve"> redox-balanced processes (ethanol being more energetically favorable). Conversion of pyruvate into acetyl- CoA is assumed to proceed through enzyme pyruvate-</w:t>
      </w:r>
      <w:proofErr w:type="spellStart"/>
      <w:r w:rsidRPr="00551795">
        <w:rPr>
          <w:rFonts w:ascii="Times" w:hAnsi="Times" w:cs="Times"/>
          <w:color w:val="1A1718"/>
          <w:sz w:val="18"/>
          <w:szCs w:val="18"/>
        </w:rPr>
        <w:t>formate</w:t>
      </w:r>
      <w:proofErr w:type="spellEnd"/>
      <w:r w:rsidRPr="00551795">
        <w:rPr>
          <w:rFonts w:ascii="Times" w:hAnsi="Times" w:cs="Times"/>
          <w:color w:val="1A1718"/>
          <w:sz w:val="18"/>
          <w:szCs w:val="18"/>
        </w:rPr>
        <w:t xml:space="preserve"> </w:t>
      </w:r>
      <w:proofErr w:type="spellStart"/>
      <w:r w:rsidRPr="00551795">
        <w:rPr>
          <w:rFonts w:ascii="Times" w:hAnsi="Times" w:cs="Times"/>
          <w:color w:val="1A1718"/>
          <w:sz w:val="18"/>
          <w:szCs w:val="18"/>
        </w:rPr>
        <w:t>lyase</w:t>
      </w:r>
      <w:proofErr w:type="spellEnd"/>
      <w:r w:rsidRPr="00551795">
        <w:rPr>
          <w:rFonts w:ascii="Times" w:hAnsi="Times" w:cs="Times"/>
          <w:color w:val="1A1718"/>
          <w:sz w:val="18"/>
          <w:szCs w:val="18"/>
        </w:rPr>
        <w:t xml:space="preserve"> (PFL). Broken lines represent linear pathways composed of several reactions. Abbreviations: H, reducing equivalents (2H 1⁄4 1NADH/NADPH/FADH2); </w:t>
      </w:r>
      <w:proofErr w:type="spellStart"/>
      <w:r w:rsidRPr="00551795">
        <w:rPr>
          <w:rFonts w:ascii="Times" w:hAnsi="Times" w:cs="Times"/>
          <w:color w:val="1A1718"/>
          <w:sz w:val="18"/>
          <w:szCs w:val="18"/>
        </w:rPr>
        <w:t>AcCoA</w:t>
      </w:r>
      <w:proofErr w:type="spellEnd"/>
      <w:r w:rsidRPr="00551795">
        <w:rPr>
          <w:rFonts w:ascii="Times" w:hAnsi="Times" w:cs="Times"/>
          <w:color w:val="1A1718"/>
          <w:sz w:val="18"/>
          <w:szCs w:val="18"/>
        </w:rPr>
        <w:t xml:space="preserve">, acetyl coenzyme A; PEP, </w:t>
      </w:r>
      <w:proofErr w:type="spellStart"/>
      <w:r w:rsidRPr="00551795">
        <w:rPr>
          <w:rFonts w:ascii="Times" w:hAnsi="Times" w:cs="Times"/>
          <w:color w:val="1A1718"/>
          <w:sz w:val="18"/>
          <w:szCs w:val="18"/>
        </w:rPr>
        <w:t>phosphoenolpyruvate</w:t>
      </w:r>
      <w:proofErr w:type="spellEnd"/>
      <w:r w:rsidRPr="00551795">
        <w:rPr>
          <w:rFonts w:ascii="Times" w:hAnsi="Times" w:cs="Times"/>
          <w:color w:val="1A1718"/>
          <w:sz w:val="18"/>
          <w:szCs w:val="18"/>
        </w:rPr>
        <w:t>; PYR, pyruvate.</w:t>
      </w:r>
    </w:p>
    <w:sectPr w:rsidR="00551795" w:rsidRPr="00551795" w:rsidSect="00551795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81D"/>
    <w:multiLevelType w:val="hybridMultilevel"/>
    <w:tmpl w:val="370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6106C"/>
    <w:multiLevelType w:val="hybridMultilevel"/>
    <w:tmpl w:val="89C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CB"/>
    <w:rsid w:val="000E21CB"/>
    <w:rsid w:val="00411F4D"/>
    <w:rsid w:val="00551795"/>
    <w:rsid w:val="007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9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1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9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1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16715533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1587</Characters>
  <Application>Microsoft Macintosh Word</Application>
  <DocSecurity>0</DocSecurity>
  <Lines>13</Lines>
  <Paragraphs>3</Paragraphs>
  <ScaleCrop>false</ScaleCrop>
  <Company>Davidson College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Gronniger</dc:creator>
  <cp:keywords/>
  <dc:description/>
  <cp:lastModifiedBy>Jessica Gronniger</cp:lastModifiedBy>
  <cp:revision>1</cp:revision>
  <dcterms:created xsi:type="dcterms:W3CDTF">2013-07-18T13:07:00Z</dcterms:created>
  <dcterms:modified xsi:type="dcterms:W3CDTF">2013-07-23T14:58:00Z</dcterms:modified>
</cp:coreProperties>
</file>